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p>
    <w:p>
      <w:pPr>
        <w:jc w:val="center"/>
        <w:rPr>
          <w:rFonts w:ascii="宋体" w:hAnsi="宋体" w:cs="宋体"/>
          <w:b/>
          <w:bCs/>
          <w:color w:val="auto"/>
          <w:sz w:val="44"/>
          <w:szCs w:val="44"/>
        </w:rPr>
      </w:pPr>
      <w:r>
        <w:rPr>
          <w:rFonts w:hint="eastAsia" w:ascii="宋体" w:hAnsi="宋体" w:cs="宋体"/>
          <w:b/>
          <w:bCs/>
          <w:color w:val="auto"/>
          <w:sz w:val="44"/>
          <w:szCs w:val="44"/>
        </w:rPr>
        <w:t>2023年花都区农产品质量安全基层检测技术人员培训及危险化学品使用储存场所安全现状评价和安全技术服务、职业病危害因素检测采购项目</w:t>
      </w:r>
    </w:p>
    <w:p>
      <w:pPr>
        <w:rPr>
          <w:color w:val="auto"/>
        </w:rPr>
      </w:pPr>
    </w:p>
    <w:p>
      <w:pPr>
        <w:rPr>
          <w:color w:val="auto"/>
        </w:rPr>
      </w:pPr>
    </w:p>
    <w:p>
      <w:pPr>
        <w:spacing w:line="320" w:lineRule="exact"/>
        <w:ind w:right="-248" w:rightChars="-118"/>
        <w:jc w:val="center"/>
        <w:rPr>
          <w:rFonts w:ascii="宋体" w:hAnsi="宋体"/>
          <w:b/>
          <w:color w:val="auto"/>
          <w:sz w:val="44"/>
        </w:rPr>
      </w:pPr>
      <w:r>
        <w:rPr>
          <w:rFonts w:ascii="宋体" w:hAnsi="宋体"/>
          <w:b/>
          <w:color w:val="auto"/>
          <w:sz w:val="44"/>
        </w:rPr>
        <w:pict>
          <v:line id="Line 2" o:spid="_x0000_s1026" o:spt="20" style="position:absolute;left:0pt;margin-left:0.85pt;margin-top:3.25pt;height:0.2pt;width:425.25pt;z-index:251659264;mso-width-relative:page;mso-height-relative:page;" stroked="t" coordsize="21600,21600" o:gfxdata="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S1Hye0wAAAAUBAAAP&#10;AAAAAAAAAAEAIAAAACIAAABkcnMvZG93bnJldi54bWxQSwECFAAUAAAACACHTuJAmVQhe+QBAADj&#10;AwAADgAAAAAAAAABACAAAAAiAQAAZHJzL2Uyb0RvYy54bWxQSwUGAAAAAAYABgBZAQAAeAUAAAAA&#10;">
            <v:path arrowok="t"/>
            <v:fill focussize="0,0"/>
            <v:stroke weight="5.5pt" color="#FF0000" linestyle="thinThick"/>
            <v:imagedata o:title=""/>
            <o:lock v:ext="edit"/>
          </v:line>
        </w:pict>
      </w:r>
    </w:p>
    <w:p>
      <w:pPr>
        <w:spacing w:line="320" w:lineRule="exact"/>
        <w:ind w:right="-248" w:rightChars="-118"/>
        <w:jc w:val="center"/>
        <w:rPr>
          <w:rFonts w:ascii="宋体" w:hAnsi="宋体"/>
          <w:b/>
          <w:color w:val="auto"/>
          <w:sz w:val="44"/>
        </w:rPr>
      </w:pPr>
    </w:p>
    <w:p>
      <w:pPr>
        <w:spacing w:line="320" w:lineRule="exact"/>
        <w:ind w:right="-248" w:rightChars="-118"/>
        <w:jc w:val="center"/>
        <w:rPr>
          <w:rFonts w:ascii="宋体" w:hAnsi="宋体"/>
          <w:b/>
          <w:color w:val="auto"/>
          <w:sz w:val="44"/>
        </w:rPr>
      </w:pPr>
    </w:p>
    <w:p>
      <w:pPr>
        <w:spacing w:line="320" w:lineRule="exact"/>
        <w:ind w:right="-248" w:rightChars="-118"/>
        <w:jc w:val="center"/>
        <w:rPr>
          <w:rFonts w:ascii="宋体" w:hAnsi="宋体"/>
          <w:b/>
          <w:color w:val="auto"/>
          <w:sz w:val="44"/>
        </w:rPr>
      </w:pPr>
    </w:p>
    <w:p>
      <w:pPr>
        <w:spacing w:line="320" w:lineRule="exact"/>
        <w:ind w:right="-248" w:rightChars="-118"/>
        <w:jc w:val="center"/>
        <w:rPr>
          <w:rFonts w:ascii="宋体" w:hAnsi="宋体"/>
          <w:b/>
          <w:color w:val="auto"/>
          <w:sz w:val="44"/>
        </w:rPr>
      </w:pPr>
      <w:r>
        <w:rPr>
          <w:rFonts w:hint="eastAsia" w:ascii="宋体" w:hAnsi="宋体"/>
          <w:b/>
          <w:color w:val="auto"/>
          <w:sz w:val="28"/>
          <w:szCs w:val="28"/>
        </w:rPr>
        <w:t>项目编号：GDCFCG-GDGZ-20230045</w:t>
      </w:r>
    </w:p>
    <w:p>
      <w:pPr>
        <w:ind w:right="-248" w:rightChars="-118"/>
        <w:jc w:val="center"/>
        <w:rPr>
          <w:rFonts w:ascii="宋体" w:hAnsi="宋体"/>
          <w:b/>
          <w:color w:val="auto"/>
          <w:sz w:val="80"/>
          <w:szCs w:val="80"/>
        </w:rPr>
      </w:pPr>
    </w:p>
    <w:p>
      <w:pPr>
        <w:ind w:right="-248" w:rightChars="-118"/>
        <w:jc w:val="center"/>
        <w:rPr>
          <w:rFonts w:ascii="宋体" w:hAnsi="宋体"/>
          <w:b/>
          <w:color w:val="auto"/>
          <w:sz w:val="80"/>
          <w:szCs w:val="80"/>
        </w:rPr>
      </w:pPr>
      <w:r>
        <w:rPr>
          <w:rFonts w:hint="eastAsia" w:ascii="宋体" w:hAnsi="宋体"/>
          <w:b/>
          <w:color w:val="auto"/>
          <w:sz w:val="80"/>
          <w:szCs w:val="80"/>
        </w:rPr>
        <w:t>竞价文件</w:t>
      </w:r>
    </w:p>
    <w:p>
      <w:pPr>
        <w:spacing w:line="240" w:lineRule="exact"/>
        <w:ind w:right="-248" w:rightChars="-118"/>
        <w:jc w:val="center"/>
        <w:rPr>
          <w:rFonts w:ascii="宋体" w:hAnsi="宋体"/>
          <w:b/>
          <w:color w:val="auto"/>
          <w:sz w:val="44"/>
        </w:rPr>
      </w:pPr>
    </w:p>
    <w:p>
      <w:pPr>
        <w:spacing w:line="240" w:lineRule="exact"/>
        <w:ind w:right="-248" w:rightChars="-118"/>
        <w:jc w:val="center"/>
        <w:rPr>
          <w:rFonts w:ascii="宋体" w:hAnsi="宋体"/>
          <w:b/>
          <w:color w:val="auto"/>
          <w:sz w:val="44"/>
        </w:rPr>
      </w:pPr>
    </w:p>
    <w:p>
      <w:pPr>
        <w:spacing w:line="240" w:lineRule="exact"/>
        <w:ind w:right="-248" w:rightChars="-118"/>
        <w:jc w:val="center"/>
        <w:rPr>
          <w:rFonts w:ascii="宋体" w:hAnsi="宋体"/>
          <w:b/>
          <w:color w:val="auto"/>
          <w:sz w:val="44"/>
        </w:rPr>
      </w:pPr>
    </w:p>
    <w:p>
      <w:pPr>
        <w:spacing w:line="240" w:lineRule="exact"/>
        <w:ind w:right="-248" w:rightChars="-118"/>
        <w:jc w:val="center"/>
        <w:rPr>
          <w:rFonts w:ascii="宋体" w:hAnsi="宋体"/>
          <w:b/>
          <w:color w:val="auto"/>
          <w:sz w:val="44"/>
        </w:rPr>
      </w:pPr>
    </w:p>
    <w:p>
      <w:pPr>
        <w:spacing w:line="240" w:lineRule="exact"/>
        <w:ind w:right="-248" w:rightChars="-118"/>
        <w:jc w:val="center"/>
        <w:rPr>
          <w:rFonts w:ascii="宋体" w:hAnsi="宋体"/>
          <w:b/>
          <w:color w:val="auto"/>
          <w:sz w:val="44"/>
        </w:rPr>
      </w:pPr>
    </w:p>
    <w:p>
      <w:pPr>
        <w:spacing w:line="240" w:lineRule="exact"/>
        <w:ind w:right="-248" w:rightChars="-118"/>
        <w:jc w:val="center"/>
        <w:rPr>
          <w:rFonts w:ascii="宋体" w:hAnsi="宋体"/>
          <w:b/>
          <w:color w:val="auto"/>
          <w:sz w:val="44"/>
        </w:rPr>
      </w:pPr>
    </w:p>
    <w:p>
      <w:pPr>
        <w:spacing w:line="240" w:lineRule="exact"/>
        <w:ind w:right="-248" w:rightChars="-118"/>
        <w:jc w:val="center"/>
        <w:rPr>
          <w:rFonts w:ascii="宋体" w:hAnsi="宋体"/>
          <w:b/>
          <w:color w:val="auto"/>
          <w:sz w:val="44"/>
        </w:rPr>
      </w:pPr>
    </w:p>
    <w:p>
      <w:pPr>
        <w:spacing w:line="240" w:lineRule="exact"/>
        <w:ind w:right="-248" w:rightChars="-118"/>
        <w:jc w:val="center"/>
        <w:rPr>
          <w:rFonts w:ascii="宋体" w:hAnsi="宋体"/>
          <w:b/>
          <w:color w:val="auto"/>
          <w:sz w:val="44"/>
        </w:rPr>
      </w:pPr>
    </w:p>
    <w:p>
      <w:pPr>
        <w:spacing w:line="240" w:lineRule="exact"/>
        <w:ind w:right="-248" w:rightChars="-118"/>
        <w:jc w:val="center"/>
        <w:rPr>
          <w:rFonts w:ascii="宋体" w:hAnsi="宋体"/>
          <w:b/>
          <w:color w:val="auto"/>
          <w:sz w:val="44"/>
        </w:rPr>
      </w:pPr>
    </w:p>
    <w:p>
      <w:pPr>
        <w:tabs>
          <w:tab w:val="left" w:pos="567"/>
          <w:tab w:val="left" w:pos="993"/>
          <w:tab w:val="left" w:pos="1620"/>
          <w:tab w:val="left" w:pos="1800"/>
        </w:tabs>
        <w:adjustRightInd w:val="0"/>
        <w:snapToGrid w:val="0"/>
        <w:spacing w:line="480" w:lineRule="auto"/>
        <w:ind w:left="3043" w:leftChars="473" w:hanging="2050" w:hangingChars="638"/>
        <w:textAlignment w:val="baseline"/>
        <w:rPr>
          <w:rFonts w:ascii="宋体" w:hAnsi="宋体"/>
          <w:b/>
          <w:color w:val="auto"/>
          <w:sz w:val="32"/>
          <w:szCs w:val="32"/>
        </w:rPr>
      </w:pPr>
      <w:r>
        <w:rPr>
          <w:rFonts w:hint="eastAsia" w:ascii="宋体" w:hAnsi="宋体"/>
          <w:b/>
          <w:color w:val="auto"/>
          <w:sz w:val="32"/>
          <w:szCs w:val="32"/>
        </w:rPr>
        <w:t>招标人： 广州花都区农产品质量安全监督检测中心</w:t>
      </w:r>
    </w:p>
    <w:p>
      <w:pPr>
        <w:tabs>
          <w:tab w:val="left" w:pos="567"/>
          <w:tab w:val="left" w:pos="993"/>
          <w:tab w:val="left" w:pos="1620"/>
          <w:tab w:val="left" w:pos="1800"/>
        </w:tabs>
        <w:adjustRightInd w:val="0"/>
        <w:snapToGrid w:val="0"/>
        <w:spacing w:line="480" w:lineRule="auto"/>
        <w:ind w:left="3043" w:leftChars="473" w:hanging="2050" w:hangingChars="638"/>
        <w:textAlignment w:val="baseline"/>
        <w:rPr>
          <w:rFonts w:ascii="宋体" w:hAnsi="宋体"/>
          <w:b/>
          <w:color w:val="auto"/>
          <w:sz w:val="32"/>
          <w:szCs w:val="32"/>
        </w:rPr>
      </w:pPr>
      <w:r>
        <w:rPr>
          <w:rFonts w:hint="eastAsia" w:ascii="宋体" w:hAnsi="宋体"/>
          <w:b/>
          <w:color w:val="auto"/>
          <w:sz w:val="32"/>
          <w:szCs w:val="32"/>
        </w:rPr>
        <w:t>招标代理机构：广东秤风采购招标有限公司</w:t>
      </w:r>
    </w:p>
    <w:p>
      <w:pPr>
        <w:tabs>
          <w:tab w:val="left" w:pos="1620"/>
          <w:tab w:val="left" w:pos="1800"/>
        </w:tabs>
        <w:adjustRightInd w:val="0"/>
        <w:snapToGrid w:val="0"/>
        <w:spacing w:line="480" w:lineRule="auto"/>
        <w:ind w:left="3041" w:leftChars="1448" w:firstLine="218" w:firstLineChars="68"/>
        <w:textAlignment w:val="baseline"/>
        <w:rPr>
          <w:rFonts w:ascii="宋体" w:hAnsi="宋体"/>
          <w:b/>
          <w:color w:val="auto"/>
          <w:sz w:val="32"/>
          <w:szCs w:val="32"/>
        </w:rPr>
      </w:pPr>
      <w:r>
        <w:rPr>
          <w:rFonts w:hint="eastAsia" w:ascii="宋体" w:hAnsi="宋体"/>
          <w:b/>
          <w:color w:val="auto"/>
          <w:sz w:val="32"/>
          <w:szCs w:val="32"/>
        </w:rPr>
        <w:t>二〇二三年三月</w:t>
      </w:r>
    </w:p>
    <w:p>
      <w:pPr>
        <w:pStyle w:val="2"/>
        <w:rPr>
          <w:rFonts w:ascii="宋体" w:hAnsi="宋体"/>
          <w:b/>
          <w:color w:val="auto"/>
          <w:sz w:val="32"/>
          <w:szCs w:val="32"/>
        </w:rPr>
      </w:pPr>
    </w:p>
    <w:p>
      <w:pPr>
        <w:pStyle w:val="2"/>
        <w:rPr>
          <w:rFonts w:ascii="宋体" w:hAnsi="宋体"/>
          <w:b/>
          <w:color w:val="auto"/>
          <w:sz w:val="32"/>
          <w:szCs w:val="32"/>
        </w:rPr>
      </w:pPr>
    </w:p>
    <w:p>
      <w:pPr>
        <w:pStyle w:val="41"/>
        <w:ind w:firstLine="400"/>
        <w:rPr>
          <w:color w:val="auto"/>
        </w:rPr>
        <w:sectPr>
          <w:footerReference r:id="rId5" w:type="first"/>
          <w:headerReference r:id="rId3" w:type="default"/>
          <w:footerReference r:id="rId4" w:type="default"/>
          <w:pgSz w:w="11906" w:h="16838"/>
          <w:pgMar w:top="1440" w:right="1274" w:bottom="1440" w:left="1800" w:header="851" w:footer="992" w:gutter="0"/>
          <w:pgNumType w:start="1"/>
          <w:cols w:space="720" w:num="1"/>
          <w:titlePg/>
          <w:docGrid w:type="lines" w:linePitch="312" w:charSpace="0"/>
        </w:sectPr>
      </w:pPr>
    </w:p>
    <w:p>
      <w:pPr>
        <w:pStyle w:val="41"/>
        <w:ind w:firstLine="400"/>
        <w:rPr>
          <w:color w:val="auto"/>
        </w:rPr>
      </w:pPr>
    </w:p>
    <w:p>
      <w:pPr>
        <w:widowControl/>
        <w:jc w:val="center"/>
        <w:rPr>
          <w:rFonts w:ascii="宋体" w:hAnsi="宋体"/>
          <w:b/>
          <w:color w:val="auto"/>
          <w:sz w:val="44"/>
          <w:szCs w:val="44"/>
        </w:rPr>
      </w:pPr>
      <w:r>
        <w:rPr>
          <w:rFonts w:ascii="宋体" w:hAnsi="宋体"/>
          <w:b/>
          <w:color w:val="auto"/>
          <w:sz w:val="44"/>
          <w:szCs w:val="44"/>
        </w:rPr>
        <w:t>目录</w:t>
      </w:r>
    </w:p>
    <w:p>
      <w:pPr>
        <w:widowControl/>
        <w:jc w:val="center"/>
        <w:rPr>
          <w:rFonts w:ascii="宋体" w:hAnsi="宋体"/>
          <w:b/>
          <w:color w:val="auto"/>
          <w:szCs w:val="21"/>
        </w:rPr>
      </w:pPr>
    </w:p>
    <w:p>
      <w:pPr>
        <w:pStyle w:val="16"/>
        <w:tabs>
          <w:tab w:val="right" w:leader="dot" w:pos="8832"/>
        </w:tabs>
        <w:spacing w:line="480" w:lineRule="auto"/>
        <w:rPr>
          <w:color w:val="auto"/>
          <w:sz w:val="28"/>
          <w:szCs w:val="28"/>
        </w:rPr>
      </w:pPr>
      <w:r>
        <w:rPr>
          <w:rFonts w:ascii="宋体" w:hAnsi="宋体"/>
          <w:b w:val="0"/>
          <w:color w:val="auto"/>
          <w:sz w:val="40"/>
          <w:szCs w:val="44"/>
        </w:rPr>
        <w:fldChar w:fldCharType="begin"/>
      </w:r>
      <w:r>
        <w:rPr>
          <w:rFonts w:hint="eastAsia" w:ascii="宋体" w:hAnsi="宋体"/>
          <w:b w:val="0"/>
          <w:color w:val="auto"/>
          <w:sz w:val="40"/>
          <w:szCs w:val="44"/>
        </w:rPr>
        <w:instrText xml:space="preserve">TOC \o "1-2" \h \z \u</w:instrText>
      </w:r>
      <w:r>
        <w:rPr>
          <w:rFonts w:ascii="宋体" w:hAnsi="宋体"/>
          <w:b w:val="0"/>
          <w:color w:val="auto"/>
          <w:sz w:val="40"/>
          <w:szCs w:val="44"/>
        </w:rPr>
        <w:fldChar w:fldCharType="separate"/>
      </w:r>
      <w:r>
        <w:rPr>
          <w:color w:val="auto"/>
        </w:rPr>
        <w:fldChar w:fldCharType="begin"/>
      </w:r>
      <w:r>
        <w:rPr>
          <w:color w:val="auto"/>
        </w:rPr>
        <w:instrText xml:space="preserve"> HYPERLINK \l "_Toc5357" </w:instrText>
      </w:r>
      <w:r>
        <w:rPr>
          <w:color w:val="auto"/>
        </w:rPr>
        <w:fldChar w:fldCharType="separate"/>
      </w:r>
      <w:r>
        <w:rPr>
          <w:rFonts w:hint="eastAsia"/>
          <w:color w:val="auto"/>
          <w:sz w:val="28"/>
          <w:szCs w:val="96"/>
        </w:rPr>
        <w:t>第一章 报价邀请</w:t>
      </w:r>
      <w:r>
        <w:rPr>
          <w:color w:val="auto"/>
          <w:sz w:val="28"/>
          <w:szCs w:val="28"/>
        </w:rPr>
        <w:tab/>
      </w:r>
      <w:r>
        <w:rPr>
          <w:color w:val="auto"/>
          <w:sz w:val="28"/>
          <w:szCs w:val="28"/>
        </w:rPr>
        <w:fldChar w:fldCharType="begin"/>
      </w:r>
      <w:r>
        <w:rPr>
          <w:color w:val="auto"/>
          <w:sz w:val="28"/>
          <w:szCs w:val="28"/>
        </w:rPr>
        <w:instrText xml:space="preserve"> PAGEREF _Toc5357 \h </w:instrText>
      </w:r>
      <w:r>
        <w:rPr>
          <w:color w:val="auto"/>
          <w:sz w:val="28"/>
          <w:szCs w:val="28"/>
        </w:rPr>
        <w:fldChar w:fldCharType="separate"/>
      </w:r>
      <w:r>
        <w:rPr>
          <w:color w:val="auto"/>
          <w:sz w:val="28"/>
          <w:szCs w:val="28"/>
        </w:rPr>
        <w:t>2</w:t>
      </w:r>
      <w:r>
        <w:rPr>
          <w:color w:val="auto"/>
          <w:sz w:val="28"/>
          <w:szCs w:val="28"/>
        </w:rPr>
        <w:fldChar w:fldCharType="end"/>
      </w:r>
      <w:r>
        <w:rPr>
          <w:color w:val="auto"/>
          <w:sz w:val="28"/>
          <w:szCs w:val="28"/>
        </w:rPr>
        <w:fldChar w:fldCharType="end"/>
      </w:r>
    </w:p>
    <w:p>
      <w:pPr>
        <w:pStyle w:val="16"/>
        <w:tabs>
          <w:tab w:val="right" w:leader="dot" w:pos="8832"/>
        </w:tabs>
        <w:spacing w:line="480" w:lineRule="auto"/>
        <w:rPr>
          <w:color w:val="auto"/>
          <w:sz w:val="28"/>
          <w:szCs w:val="28"/>
        </w:rPr>
      </w:pPr>
      <w:r>
        <w:rPr>
          <w:color w:val="auto"/>
        </w:rPr>
        <w:fldChar w:fldCharType="begin"/>
      </w:r>
      <w:r>
        <w:rPr>
          <w:color w:val="auto"/>
        </w:rPr>
        <w:instrText xml:space="preserve"> HYPERLINK \l "_Toc19037" </w:instrText>
      </w:r>
      <w:r>
        <w:rPr>
          <w:color w:val="auto"/>
        </w:rPr>
        <w:fldChar w:fldCharType="separate"/>
      </w:r>
      <w:r>
        <w:rPr>
          <w:rFonts w:hint="eastAsia"/>
          <w:color w:val="auto"/>
          <w:sz w:val="28"/>
          <w:szCs w:val="96"/>
        </w:rPr>
        <w:t>第二章 用户需求书</w:t>
      </w:r>
      <w:r>
        <w:rPr>
          <w:color w:val="auto"/>
          <w:sz w:val="28"/>
          <w:szCs w:val="28"/>
        </w:rPr>
        <w:tab/>
      </w:r>
      <w:r>
        <w:rPr>
          <w:color w:val="auto"/>
          <w:sz w:val="28"/>
          <w:szCs w:val="28"/>
        </w:rPr>
        <w:fldChar w:fldCharType="begin"/>
      </w:r>
      <w:r>
        <w:rPr>
          <w:color w:val="auto"/>
          <w:sz w:val="28"/>
          <w:szCs w:val="28"/>
        </w:rPr>
        <w:instrText xml:space="preserve"> PAGEREF _Toc19037 \h </w:instrText>
      </w:r>
      <w:r>
        <w:rPr>
          <w:color w:val="auto"/>
          <w:sz w:val="28"/>
          <w:szCs w:val="28"/>
        </w:rPr>
        <w:fldChar w:fldCharType="separate"/>
      </w:r>
      <w:r>
        <w:rPr>
          <w:color w:val="auto"/>
          <w:sz w:val="28"/>
          <w:szCs w:val="28"/>
        </w:rPr>
        <w:t>7</w:t>
      </w:r>
      <w:r>
        <w:rPr>
          <w:color w:val="auto"/>
          <w:sz w:val="28"/>
          <w:szCs w:val="28"/>
        </w:rPr>
        <w:fldChar w:fldCharType="end"/>
      </w:r>
      <w:r>
        <w:rPr>
          <w:color w:val="auto"/>
          <w:sz w:val="28"/>
          <w:szCs w:val="28"/>
        </w:rPr>
        <w:fldChar w:fldCharType="end"/>
      </w:r>
    </w:p>
    <w:p>
      <w:pPr>
        <w:pStyle w:val="16"/>
        <w:tabs>
          <w:tab w:val="right" w:leader="dot" w:pos="8832"/>
        </w:tabs>
        <w:spacing w:line="480" w:lineRule="auto"/>
        <w:rPr>
          <w:color w:val="auto"/>
          <w:sz w:val="28"/>
          <w:szCs w:val="28"/>
        </w:rPr>
      </w:pPr>
      <w:r>
        <w:rPr>
          <w:color w:val="auto"/>
        </w:rPr>
        <w:fldChar w:fldCharType="begin"/>
      </w:r>
      <w:r>
        <w:rPr>
          <w:color w:val="auto"/>
        </w:rPr>
        <w:instrText xml:space="preserve"> HYPERLINK \l "_Toc16007" </w:instrText>
      </w:r>
      <w:r>
        <w:rPr>
          <w:color w:val="auto"/>
        </w:rPr>
        <w:fldChar w:fldCharType="separate"/>
      </w:r>
      <w:r>
        <w:rPr>
          <w:rFonts w:hint="eastAsia"/>
          <w:color w:val="auto"/>
          <w:sz w:val="28"/>
          <w:szCs w:val="96"/>
        </w:rPr>
        <w:t>第三章 报价文件格式</w:t>
      </w:r>
      <w:r>
        <w:rPr>
          <w:color w:val="auto"/>
          <w:sz w:val="28"/>
          <w:szCs w:val="28"/>
        </w:rPr>
        <w:tab/>
      </w:r>
      <w:r>
        <w:rPr>
          <w:color w:val="auto"/>
          <w:sz w:val="28"/>
          <w:szCs w:val="28"/>
        </w:rPr>
        <w:fldChar w:fldCharType="begin"/>
      </w:r>
      <w:r>
        <w:rPr>
          <w:color w:val="auto"/>
          <w:sz w:val="28"/>
          <w:szCs w:val="28"/>
        </w:rPr>
        <w:instrText xml:space="preserve"> PAGEREF _Toc16007 \h </w:instrText>
      </w:r>
      <w:r>
        <w:rPr>
          <w:color w:val="auto"/>
          <w:sz w:val="28"/>
          <w:szCs w:val="28"/>
        </w:rPr>
        <w:fldChar w:fldCharType="separate"/>
      </w:r>
      <w:r>
        <w:rPr>
          <w:color w:val="auto"/>
          <w:sz w:val="28"/>
          <w:szCs w:val="28"/>
        </w:rPr>
        <w:t>15</w:t>
      </w:r>
      <w:r>
        <w:rPr>
          <w:color w:val="auto"/>
          <w:sz w:val="28"/>
          <w:szCs w:val="28"/>
        </w:rPr>
        <w:fldChar w:fldCharType="end"/>
      </w:r>
      <w:r>
        <w:rPr>
          <w:color w:val="auto"/>
          <w:sz w:val="28"/>
          <w:szCs w:val="28"/>
        </w:rPr>
        <w:fldChar w:fldCharType="end"/>
      </w:r>
    </w:p>
    <w:p>
      <w:pPr>
        <w:widowControl/>
        <w:adjustRightInd w:val="0"/>
        <w:snapToGrid w:val="0"/>
        <w:spacing w:line="480" w:lineRule="auto"/>
        <w:jc w:val="center"/>
        <w:rPr>
          <w:rFonts w:ascii="宋体" w:hAnsi="宋体"/>
          <w:b/>
          <w:color w:val="auto"/>
          <w:szCs w:val="21"/>
        </w:rPr>
      </w:pPr>
      <w:r>
        <w:rPr>
          <w:rFonts w:ascii="宋体" w:hAnsi="宋体"/>
          <w:color w:val="auto"/>
          <w:sz w:val="32"/>
          <w:szCs w:val="44"/>
        </w:rPr>
        <w:fldChar w:fldCharType="end"/>
      </w:r>
    </w:p>
    <w:p>
      <w:pPr>
        <w:widowControl/>
        <w:jc w:val="center"/>
        <w:rPr>
          <w:rFonts w:ascii="宋体" w:hAnsi="宋体"/>
          <w:b/>
          <w:color w:val="auto"/>
          <w:sz w:val="44"/>
          <w:szCs w:val="44"/>
        </w:rPr>
      </w:pPr>
      <w:r>
        <w:rPr>
          <w:rFonts w:ascii="宋体" w:hAnsi="宋体"/>
          <w:b/>
          <w:color w:val="auto"/>
          <w:sz w:val="44"/>
          <w:szCs w:val="44"/>
        </w:rPr>
        <w:br w:type="page"/>
      </w:r>
    </w:p>
    <w:p>
      <w:pPr>
        <w:tabs>
          <w:tab w:val="left" w:pos="1620"/>
          <w:tab w:val="left" w:pos="1800"/>
        </w:tabs>
        <w:adjustRightInd w:val="0"/>
        <w:snapToGrid w:val="0"/>
        <w:spacing w:line="480" w:lineRule="auto"/>
        <w:ind w:left="3041" w:leftChars="1448" w:firstLine="246" w:firstLineChars="68"/>
        <w:textAlignment w:val="baseline"/>
        <w:rPr>
          <w:rFonts w:ascii="宋体" w:hAnsi="宋体"/>
          <w:b/>
          <w:color w:val="auto"/>
          <w:sz w:val="36"/>
          <w:szCs w:val="36"/>
        </w:rPr>
      </w:pPr>
    </w:p>
    <w:p>
      <w:pPr>
        <w:tabs>
          <w:tab w:val="left" w:pos="1620"/>
          <w:tab w:val="left" w:pos="1800"/>
        </w:tabs>
        <w:adjustRightInd w:val="0"/>
        <w:snapToGrid w:val="0"/>
        <w:spacing w:line="480" w:lineRule="auto"/>
        <w:ind w:left="3041" w:leftChars="1448" w:firstLine="246" w:firstLineChars="68"/>
        <w:textAlignment w:val="baseline"/>
        <w:rPr>
          <w:rFonts w:ascii="宋体" w:hAnsi="宋体"/>
          <w:b/>
          <w:color w:val="auto"/>
          <w:sz w:val="36"/>
          <w:szCs w:val="36"/>
        </w:rPr>
      </w:pPr>
    </w:p>
    <w:p>
      <w:pPr>
        <w:tabs>
          <w:tab w:val="left" w:pos="1620"/>
          <w:tab w:val="left" w:pos="1800"/>
        </w:tabs>
        <w:adjustRightInd w:val="0"/>
        <w:snapToGrid w:val="0"/>
        <w:spacing w:line="480" w:lineRule="auto"/>
        <w:ind w:left="3041" w:leftChars="1448" w:firstLine="246" w:firstLineChars="68"/>
        <w:textAlignment w:val="baseline"/>
        <w:rPr>
          <w:rFonts w:ascii="宋体" w:hAnsi="宋体"/>
          <w:b/>
          <w:color w:val="auto"/>
          <w:sz w:val="36"/>
          <w:szCs w:val="36"/>
        </w:rPr>
      </w:pPr>
    </w:p>
    <w:p>
      <w:pPr>
        <w:tabs>
          <w:tab w:val="left" w:pos="1620"/>
          <w:tab w:val="left" w:pos="1800"/>
        </w:tabs>
        <w:adjustRightInd w:val="0"/>
        <w:snapToGrid w:val="0"/>
        <w:spacing w:line="480" w:lineRule="auto"/>
        <w:ind w:left="3041" w:leftChars="1448" w:firstLine="246" w:firstLineChars="68"/>
        <w:textAlignment w:val="baseline"/>
        <w:rPr>
          <w:rFonts w:ascii="宋体" w:hAnsi="宋体"/>
          <w:b/>
          <w:color w:val="auto"/>
          <w:sz w:val="36"/>
          <w:szCs w:val="36"/>
        </w:rPr>
      </w:pPr>
    </w:p>
    <w:p>
      <w:pPr>
        <w:tabs>
          <w:tab w:val="left" w:pos="1620"/>
          <w:tab w:val="left" w:pos="1800"/>
        </w:tabs>
        <w:adjustRightInd w:val="0"/>
        <w:snapToGrid w:val="0"/>
        <w:spacing w:line="480" w:lineRule="auto"/>
        <w:ind w:left="3041" w:leftChars="1448" w:firstLine="246" w:firstLineChars="68"/>
        <w:textAlignment w:val="baseline"/>
        <w:rPr>
          <w:rFonts w:ascii="宋体" w:hAnsi="宋体"/>
          <w:b/>
          <w:color w:val="auto"/>
          <w:sz w:val="36"/>
          <w:szCs w:val="36"/>
        </w:rPr>
      </w:pPr>
    </w:p>
    <w:p>
      <w:pPr>
        <w:numPr>
          <w:ilvl w:val="0"/>
          <w:numId w:val="2"/>
        </w:numPr>
        <w:tabs>
          <w:tab w:val="left" w:pos="1843"/>
        </w:tabs>
        <w:jc w:val="center"/>
        <w:outlineLvl w:val="0"/>
        <w:rPr>
          <w:b/>
          <w:color w:val="auto"/>
          <w:sz w:val="50"/>
          <w:szCs w:val="50"/>
        </w:rPr>
      </w:pPr>
      <w:bookmarkStart w:id="0" w:name="_Toc423350471"/>
      <w:bookmarkStart w:id="1" w:name="_Toc5357"/>
      <w:bookmarkStart w:id="2" w:name="_Toc457466589"/>
      <w:r>
        <w:rPr>
          <w:rFonts w:hint="eastAsia"/>
          <w:b/>
          <w:color w:val="auto"/>
          <w:sz w:val="50"/>
          <w:szCs w:val="50"/>
        </w:rPr>
        <w:t>报价邀请</w:t>
      </w:r>
      <w:bookmarkEnd w:id="0"/>
      <w:bookmarkEnd w:id="1"/>
      <w:bookmarkEnd w:id="2"/>
    </w:p>
    <w:p>
      <w:pPr>
        <w:widowControl/>
        <w:jc w:val="center"/>
        <w:rPr>
          <w:b/>
          <w:bCs/>
          <w:color w:val="auto"/>
          <w:sz w:val="28"/>
          <w:szCs w:val="28"/>
        </w:rPr>
      </w:pPr>
      <w:r>
        <w:rPr>
          <w:b/>
          <w:color w:val="auto"/>
          <w:sz w:val="50"/>
          <w:szCs w:val="50"/>
        </w:rPr>
        <w:br w:type="page"/>
      </w:r>
      <w:r>
        <w:rPr>
          <w:rFonts w:hint="eastAsia"/>
          <w:b/>
          <w:bCs/>
          <w:color w:val="auto"/>
          <w:sz w:val="28"/>
          <w:szCs w:val="28"/>
        </w:rPr>
        <w:t>竞价公告</w:t>
      </w:r>
    </w:p>
    <w:p>
      <w:pPr>
        <w:tabs>
          <w:tab w:val="left" w:pos="426"/>
        </w:tabs>
        <w:snapToGrid w:val="0"/>
        <w:spacing w:line="360" w:lineRule="auto"/>
        <w:ind w:firstLine="420" w:firstLineChars="200"/>
        <w:rPr>
          <w:rFonts w:hint="eastAsia" w:ascii="宋体" w:hAnsi="宋体"/>
          <w:color w:val="auto"/>
        </w:rPr>
      </w:pPr>
      <w:r>
        <w:rPr>
          <w:rFonts w:hint="eastAsia" w:ascii="宋体" w:hAnsi="宋体"/>
          <w:color w:val="auto"/>
        </w:rPr>
        <w:t>广东秤风采购招标有限公司受广州花都区农产品质量安全监督检测中心的委托，拟对2023年花都区农产品质量安全基层检测技术人员培训及危险化学品使用储存场所安全现状评价和安全技术服务、职业病危害因素检测采购项目进行公开竞价采购，欢迎符合资格条件的供应商参加。</w:t>
      </w:r>
    </w:p>
    <w:p>
      <w:pPr>
        <w:numPr>
          <w:ilvl w:val="0"/>
          <w:numId w:val="3"/>
        </w:numPr>
        <w:tabs>
          <w:tab w:val="left" w:pos="426"/>
        </w:tabs>
        <w:snapToGrid w:val="0"/>
        <w:spacing w:line="360" w:lineRule="auto"/>
        <w:rPr>
          <w:rFonts w:ascii="宋体"/>
          <w:b/>
          <w:color w:val="auto"/>
          <w:szCs w:val="20"/>
        </w:rPr>
      </w:pPr>
      <w:r>
        <w:rPr>
          <w:rFonts w:hint="eastAsia" w:ascii="宋体"/>
          <w:b/>
          <w:color w:val="auto"/>
          <w:szCs w:val="20"/>
        </w:rPr>
        <w:t>项目编号</w:t>
      </w:r>
    </w:p>
    <w:p>
      <w:pPr>
        <w:tabs>
          <w:tab w:val="left" w:pos="426"/>
        </w:tabs>
        <w:snapToGrid w:val="0"/>
        <w:spacing w:line="360" w:lineRule="auto"/>
        <w:ind w:firstLine="420" w:firstLineChars="200"/>
        <w:rPr>
          <w:rFonts w:ascii="宋体"/>
          <w:bCs/>
          <w:color w:val="auto"/>
          <w:szCs w:val="20"/>
        </w:rPr>
      </w:pPr>
      <w:r>
        <w:rPr>
          <w:rFonts w:hint="eastAsia" w:ascii="宋体" w:hAnsi="宋体"/>
          <w:color w:val="auto"/>
        </w:rPr>
        <w:t>GDCFCG-GDGZ-20230045</w:t>
      </w:r>
    </w:p>
    <w:p>
      <w:pPr>
        <w:numPr>
          <w:ilvl w:val="0"/>
          <w:numId w:val="3"/>
        </w:numPr>
        <w:tabs>
          <w:tab w:val="left" w:pos="426"/>
        </w:tabs>
        <w:snapToGrid w:val="0"/>
        <w:spacing w:line="360" w:lineRule="auto"/>
        <w:rPr>
          <w:rFonts w:ascii="宋体" w:hAnsi="宋体"/>
          <w:b/>
          <w:color w:val="auto"/>
        </w:rPr>
      </w:pPr>
      <w:r>
        <w:rPr>
          <w:rFonts w:hint="eastAsia" w:ascii="宋体"/>
          <w:b/>
          <w:color w:val="auto"/>
          <w:szCs w:val="20"/>
        </w:rPr>
        <w:t>项目名称</w:t>
      </w:r>
    </w:p>
    <w:p>
      <w:pPr>
        <w:tabs>
          <w:tab w:val="left" w:pos="426"/>
        </w:tabs>
        <w:snapToGrid w:val="0"/>
        <w:spacing w:line="360" w:lineRule="auto"/>
        <w:ind w:firstLine="420" w:firstLineChars="200"/>
        <w:rPr>
          <w:rFonts w:ascii="宋体"/>
          <w:b/>
          <w:color w:val="auto"/>
          <w:szCs w:val="20"/>
        </w:rPr>
      </w:pPr>
      <w:r>
        <w:rPr>
          <w:rFonts w:hint="eastAsia" w:ascii="宋体" w:hAnsi="宋体"/>
          <w:color w:val="auto"/>
        </w:rPr>
        <w:t>2023年花都区农产品质量安全基层检测技术人员培训及危险化学品使用储存场所安全现状评价和安全技术服务、职业病危害因素检测采购项目</w:t>
      </w:r>
    </w:p>
    <w:p>
      <w:pPr>
        <w:numPr>
          <w:ilvl w:val="0"/>
          <w:numId w:val="3"/>
        </w:numPr>
        <w:tabs>
          <w:tab w:val="left" w:pos="426"/>
        </w:tabs>
        <w:snapToGrid w:val="0"/>
        <w:spacing w:line="360" w:lineRule="auto"/>
        <w:rPr>
          <w:rFonts w:ascii="宋体"/>
          <w:b/>
          <w:color w:val="auto"/>
          <w:szCs w:val="20"/>
        </w:rPr>
      </w:pPr>
      <w:r>
        <w:rPr>
          <w:rFonts w:hint="eastAsia" w:ascii="宋体"/>
          <w:b/>
          <w:color w:val="auto"/>
          <w:szCs w:val="20"/>
        </w:rPr>
        <w:t>项目内容及需求</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3"/>
        <w:gridCol w:w="2845"/>
        <w:gridCol w:w="737"/>
        <w:gridCol w:w="2536"/>
        <w:gridCol w:w="17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3" w:hRule="atLeast"/>
          <w:jc w:val="center"/>
        </w:trPr>
        <w:tc>
          <w:tcPr>
            <w:tcW w:w="933" w:type="dxa"/>
            <w:shd w:val="clear" w:color="auto" w:fill="EEECE1"/>
            <w:noWrap/>
            <w:vAlign w:val="center"/>
          </w:tcPr>
          <w:p>
            <w:pPr>
              <w:jc w:val="center"/>
              <w:rPr>
                <w:rFonts w:ascii="宋体"/>
                <w:b/>
                <w:color w:val="auto"/>
                <w:szCs w:val="21"/>
              </w:rPr>
            </w:pPr>
            <w:r>
              <w:rPr>
                <w:rFonts w:hint="eastAsia" w:ascii="宋体"/>
                <w:b/>
                <w:color w:val="auto"/>
                <w:szCs w:val="21"/>
              </w:rPr>
              <w:t>包组号</w:t>
            </w:r>
          </w:p>
        </w:tc>
        <w:tc>
          <w:tcPr>
            <w:tcW w:w="2845" w:type="dxa"/>
            <w:shd w:val="clear" w:color="auto" w:fill="EEECE1"/>
            <w:noWrap/>
            <w:vAlign w:val="center"/>
          </w:tcPr>
          <w:p>
            <w:pPr>
              <w:jc w:val="center"/>
              <w:rPr>
                <w:rFonts w:ascii="宋体"/>
                <w:b/>
                <w:color w:val="auto"/>
                <w:szCs w:val="21"/>
              </w:rPr>
            </w:pPr>
            <w:r>
              <w:rPr>
                <w:rFonts w:hint="eastAsia" w:ascii="宋体"/>
                <w:b/>
                <w:color w:val="auto"/>
                <w:szCs w:val="21"/>
              </w:rPr>
              <w:t>采购内容</w:t>
            </w:r>
          </w:p>
        </w:tc>
        <w:tc>
          <w:tcPr>
            <w:tcW w:w="737" w:type="dxa"/>
            <w:shd w:val="clear" w:color="auto" w:fill="EEECE1"/>
            <w:noWrap/>
            <w:vAlign w:val="center"/>
          </w:tcPr>
          <w:p>
            <w:pPr>
              <w:jc w:val="center"/>
              <w:rPr>
                <w:rFonts w:ascii="宋体"/>
                <w:b/>
                <w:color w:val="auto"/>
                <w:szCs w:val="21"/>
              </w:rPr>
            </w:pPr>
            <w:r>
              <w:rPr>
                <w:rFonts w:hint="eastAsia" w:ascii="宋体"/>
                <w:b/>
                <w:color w:val="auto"/>
                <w:szCs w:val="21"/>
              </w:rPr>
              <w:t>数量</w:t>
            </w:r>
          </w:p>
        </w:tc>
        <w:tc>
          <w:tcPr>
            <w:tcW w:w="2536" w:type="dxa"/>
            <w:shd w:val="clear" w:color="auto" w:fill="EEECE1"/>
            <w:noWrap/>
            <w:vAlign w:val="center"/>
          </w:tcPr>
          <w:p>
            <w:pPr>
              <w:jc w:val="center"/>
              <w:rPr>
                <w:rFonts w:ascii="宋体"/>
                <w:b/>
                <w:color w:val="auto"/>
                <w:szCs w:val="21"/>
              </w:rPr>
            </w:pPr>
            <w:r>
              <w:rPr>
                <w:rFonts w:hint="eastAsia" w:ascii="宋体"/>
                <w:b/>
                <w:color w:val="auto"/>
                <w:szCs w:val="21"/>
              </w:rPr>
              <w:t>服务期限</w:t>
            </w:r>
          </w:p>
        </w:tc>
        <w:tc>
          <w:tcPr>
            <w:tcW w:w="1740" w:type="dxa"/>
            <w:shd w:val="clear" w:color="auto" w:fill="EEECE1"/>
            <w:noWrap/>
            <w:vAlign w:val="center"/>
          </w:tcPr>
          <w:p>
            <w:pPr>
              <w:jc w:val="center"/>
              <w:rPr>
                <w:rFonts w:ascii="宋体"/>
                <w:b/>
                <w:color w:val="auto"/>
                <w:szCs w:val="21"/>
              </w:rPr>
            </w:pPr>
            <w:r>
              <w:rPr>
                <w:rFonts w:hint="eastAsia" w:ascii="宋体"/>
                <w:b/>
                <w:color w:val="auto"/>
                <w:szCs w:val="21"/>
              </w:rPr>
              <w:t>最高限价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4" w:hRule="atLeast"/>
          <w:jc w:val="center"/>
        </w:trPr>
        <w:tc>
          <w:tcPr>
            <w:tcW w:w="933" w:type="dxa"/>
            <w:noWrap/>
            <w:vAlign w:val="center"/>
          </w:tcPr>
          <w:p>
            <w:pPr>
              <w:jc w:val="center"/>
              <w:rPr>
                <w:rFonts w:ascii="宋体"/>
                <w:bCs/>
                <w:color w:val="auto"/>
                <w:szCs w:val="21"/>
              </w:rPr>
            </w:pPr>
            <w:r>
              <w:rPr>
                <w:rFonts w:hint="eastAsia" w:ascii="宋体"/>
                <w:bCs/>
                <w:color w:val="auto"/>
                <w:szCs w:val="21"/>
              </w:rPr>
              <w:t>包组一</w:t>
            </w:r>
          </w:p>
        </w:tc>
        <w:tc>
          <w:tcPr>
            <w:tcW w:w="2845" w:type="dxa"/>
            <w:noWrap/>
            <w:vAlign w:val="center"/>
          </w:tcPr>
          <w:p>
            <w:pPr>
              <w:jc w:val="center"/>
              <w:rPr>
                <w:rFonts w:ascii="宋体"/>
                <w:bCs/>
                <w:color w:val="auto"/>
                <w:szCs w:val="21"/>
              </w:rPr>
            </w:pPr>
            <w:r>
              <w:rPr>
                <w:rFonts w:hint="eastAsia" w:ascii="宋体"/>
                <w:bCs/>
                <w:color w:val="auto"/>
                <w:szCs w:val="21"/>
              </w:rPr>
              <w:t>2023年花都区农产品质量安全基层检测技术人员培训</w:t>
            </w:r>
          </w:p>
        </w:tc>
        <w:tc>
          <w:tcPr>
            <w:tcW w:w="737" w:type="dxa"/>
            <w:noWrap/>
            <w:vAlign w:val="center"/>
          </w:tcPr>
          <w:p>
            <w:pPr>
              <w:jc w:val="center"/>
              <w:rPr>
                <w:rFonts w:ascii="宋体" w:hAnsi="宋体"/>
                <w:color w:val="auto"/>
              </w:rPr>
            </w:pPr>
            <w:r>
              <w:rPr>
                <w:rFonts w:hint="eastAsia" w:ascii="宋体" w:hAnsi="宋体"/>
                <w:color w:val="auto"/>
              </w:rPr>
              <w:t>1项</w:t>
            </w:r>
          </w:p>
        </w:tc>
        <w:tc>
          <w:tcPr>
            <w:tcW w:w="2536" w:type="dxa"/>
            <w:noWrap/>
            <w:vAlign w:val="center"/>
          </w:tcPr>
          <w:p>
            <w:pPr>
              <w:pStyle w:val="46"/>
              <w:spacing w:line="240" w:lineRule="auto"/>
              <w:rPr>
                <w:rFonts w:ascii="宋体" w:hAnsi="宋体"/>
                <w:snapToGrid/>
                <w:color w:val="auto"/>
                <w:spacing w:val="0"/>
                <w:kern w:val="2"/>
                <w:sz w:val="21"/>
                <w:szCs w:val="21"/>
              </w:rPr>
            </w:pPr>
            <w:r>
              <w:rPr>
                <w:rFonts w:hint="eastAsia" w:ascii="宋体" w:hAnsi="宋体"/>
                <w:snapToGrid/>
                <w:color w:val="auto"/>
                <w:spacing w:val="0"/>
                <w:kern w:val="2"/>
                <w:sz w:val="21"/>
                <w:szCs w:val="21"/>
              </w:rPr>
              <w:t>自合同签约至2023年4月31日前完成</w:t>
            </w:r>
          </w:p>
        </w:tc>
        <w:tc>
          <w:tcPr>
            <w:tcW w:w="1740" w:type="dxa"/>
            <w:noWrap/>
            <w:vAlign w:val="center"/>
          </w:tcPr>
          <w:p>
            <w:pPr>
              <w:jc w:val="center"/>
              <w:rPr>
                <w:rFonts w:ascii="宋体" w:hAnsi="宋体"/>
                <w:color w:val="auto"/>
              </w:rPr>
            </w:pPr>
            <w:r>
              <w:rPr>
                <w:rFonts w:hint="eastAsia" w:ascii="宋体" w:hAnsi="宋体"/>
                <w:color w:val="auto"/>
              </w:rPr>
              <w:t>人民币3.2万元</w:t>
            </w:r>
          </w:p>
        </w:tc>
      </w:tr>
    </w:tbl>
    <w:p>
      <w:pPr>
        <w:snapToGrid w:val="0"/>
        <w:rPr>
          <w:rFonts w:ascii="宋体"/>
          <w:bCs/>
          <w:color w:val="auto"/>
          <w:szCs w:val="20"/>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3"/>
        <w:gridCol w:w="2845"/>
        <w:gridCol w:w="737"/>
        <w:gridCol w:w="2536"/>
        <w:gridCol w:w="17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3" w:hRule="atLeast"/>
          <w:jc w:val="center"/>
        </w:trPr>
        <w:tc>
          <w:tcPr>
            <w:tcW w:w="933" w:type="dxa"/>
            <w:shd w:val="clear" w:color="auto" w:fill="EEECE1"/>
            <w:noWrap/>
            <w:vAlign w:val="center"/>
          </w:tcPr>
          <w:p>
            <w:pPr>
              <w:jc w:val="center"/>
              <w:rPr>
                <w:rFonts w:ascii="宋体"/>
                <w:b/>
                <w:color w:val="auto"/>
                <w:szCs w:val="21"/>
              </w:rPr>
            </w:pPr>
            <w:r>
              <w:rPr>
                <w:rFonts w:hint="eastAsia" w:ascii="宋体"/>
                <w:b/>
                <w:color w:val="auto"/>
                <w:szCs w:val="21"/>
              </w:rPr>
              <w:t>包组号</w:t>
            </w:r>
          </w:p>
        </w:tc>
        <w:tc>
          <w:tcPr>
            <w:tcW w:w="2845" w:type="dxa"/>
            <w:shd w:val="clear" w:color="auto" w:fill="EEECE1"/>
            <w:noWrap/>
            <w:vAlign w:val="center"/>
          </w:tcPr>
          <w:p>
            <w:pPr>
              <w:jc w:val="center"/>
              <w:rPr>
                <w:rFonts w:ascii="宋体"/>
                <w:b/>
                <w:color w:val="auto"/>
                <w:szCs w:val="21"/>
              </w:rPr>
            </w:pPr>
            <w:r>
              <w:rPr>
                <w:rFonts w:hint="eastAsia" w:ascii="宋体"/>
                <w:b/>
                <w:color w:val="auto"/>
                <w:szCs w:val="21"/>
              </w:rPr>
              <w:t>采购内容</w:t>
            </w:r>
          </w:p>
        </w:tc>
        <w:tc>
          <w:tcPr>
            <w:tcW w:w="737" w:type="dxa"/>
            <w:shd w:val="clear" w:color="auto" w:fill="EEECE1"/>
            <w:noWrap/>
            <w:vAlign w:val="center"/>
          </w:tcPr>
          <w:p>
            <w:pPr>
              <w:jc w:val="center"/>
              <w:rPr>
                <w:rFonts w:ascii="宋体"/>
                <w:b/>
                <w:color w:val="auto"/>
                <w:szCs w:val="21"/>
              </w:rPr>
            </w:pPr>
            <w:r>
              <w:rPr>
                <w:rFonts w:hint="eastAsia" w:ascii="宋体"/>
                <w:b/>
                <w:color w:val="auto"/>
                <w:szCs w:val="21"/>
              </w:rPr>
              <w:t>数量</w:t>
            </w:r>
          </w:p>
        </w:tc>
        <w:tc>
          <w:tcPr>
            <w:tcW w:w="2536" w:type="dxa"/>
            <w:shd w:val="clear" w:color="auto" w:fill="EEECE1"/>
            <w:noWrap/>
            <w:vAlign w:val="center"/>
          </w:tcPr>
          <w:p>
            <w:pPr>
              <w:jc w:val="center"/>
              <w:rPr>
                <w:rFonts w:ascii="宋体"/>
                <w:b/>
                <w:color w:val="auto"/>
                <w:szCs w:val="21"/>
              </w:rPr>
            </w:pPr>
            <w:r>
              <w:rPr>
                <w:rFonts w:hint="eastAsia" w:ascii="宋体"/>
                <w:b/>
                <w:color w:val="auto"/>
                <w:szCs w:val="21"/>
              </w:rPr>
              <w:t>服务期限</w:t>
            </w:r>
          </w:p>
        </w:tc>
        <w:tc>
          <w:tcPr>
            <w:tcW w:w="1740" w:type="dxa"/>
            <w:shd w:val="clear" w:color="auto" w:fill="EEECE1"/>
            <w:noWrap/>
            <w:vAlign w:val="center"/>
          </w:tcPr>
          <w:p>
            <w:pPr>
              <w:jc w:val="center"/>
              <w:rPr>
                <w:rFonts w:ascii="宋体"/>
                <w:b/>
                <w:color w:val="auto"/>
                <w:szCs w:val="21"/>
              </w:rPr>
            </w:pPr>
            <w:r>
              <w:rPr>
                <w:rFonts w:hint="eastAsia" w:ascii="宋体"/>
                <w:b/>
                <w:color w:val="auto"/>
                <w:szCs w:val="21"/>
              </w:rPr>
              <w:t>最高限价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8" w:hRule="atLeast"/>
          <w:jc w:val="center"/>
        </w:trPr>
        <w:tc>
          <w:tcPr>
            <w:tcW w:w="933" w:type="dxa"/>
            <w:vMerge w:val="restart"/>
            <w:noWrap/>
            <w:vAlign w:val="center"/>
          </w:tcPr>
          <w:p>
            <w:pPr>
              <w:jc w:val="center"/>
              <w:rPr>
                <w:rFonts w:ascii="宋体"/>
                <w:bCs/>
                <w:color w:val="auto"/>
                <w:szCs w:val="21"/>
              </w:rPr>
            </w:pPr>
            <w:r>
              <w:rPr>
                <w:rFonts w:hint="eastAsia" w:ascii="宋体"/>
                <w:bCs/>
                <w:color w:val="auto"/>
                <w:szCs w:val="21"/>
              </w:rPr>
              <w:t>包组二</w:t>
            </w:r>
          </w:p>
        </w:tc>
        <w:tc>
          <w:tcPr>
            <w:tcW w:w="2845" w:type="dxa"/>
            <w:noWrap/>
            <w:vAlign w:val="center"/>
          </w:tcPr>
          <w:p>
            <w:pPr>
              <w:jc w:val="center"/>
              <w:rPr>
                <w:rFonts w:ascii="宋体"/>
                <w:bCs/>
                <w:color w:val="auto"/>
                <w:szCs w:val="21"/>
              </w:rPr>
            </w:pPr>
            <w:r>
              <w:rPr>
                <w:rFonts w:hint="eastAsia" w:ascii="宋体"/>
                <w:bCs/>
                <w:color w:val="auto"/>
                <w:szCs w:val="21"/>
              </w:rPr>
              <w:t>危险化学品使用储存场所安全现状评价和安全技术服务</w:t>
            </w:r>
          </w:p>
        </w:tc>
        <w:tc>
          <w:tcPr>
            <w:tcW w:w="737" w:type="dxa"/>
            <w:noWrap/>
            <w:vAlign w:val="center"/>
          </w:tcPr>
          <w:p>
            <w:pPr>
              <w:jc w:val="center"/>
              <w:rPr>
                <w:rFonts w:ascii="宋体" w:hAnsi="宋体"/>
                <w:color w:val="auto"/>
              </w:rPr>
            </w:pPr>
            <w:r>
              <w:rPr>
                <w:rFonts w:hint="eastAsia" w:ascii="宋体" w:hAnsi="宋体"/>
                <w:color w:val="auto"/>
              </w:rPr>
              <w:t>1项</w:t>
            </w:r>
          </w:p>
        </w:tc>
        <w:tc>
          <w:tcPr>
            <w:tcW w:w="2536" w:type="dxa"/>
            <w:vMerge w:val="restart"/>
            <w:noWrap/>
            <w:vAlign w:val="center"/>
          </w:tcPr>
          <w:p>
            <w:pPr>
              <w:pStyle w:val="46"/>
              <w:spacing w:line="240" w:lineRule="auto"/>
              <w:rPr>
                <w:rFonts w:ascii="宋体" w:hAnsi="宋体"/>
                <w:snapToGrid/>
                <w:color w:val="auto"/>
                <w:spacing w:val="0"/>
                <w:kern w:val="2"/>
                <w:sz w:val="21"/>
                <w:szCs w:val="21"/>
              </w:rPr>
            </w:pPr>
            <w:r>
              <w:rPr>
                <w:rFonts w:hint="eastAsia" w:ascii="宋体" w:hAnsi="宋体"/>
                <w:snapToGrid/>
                <w:color w:val="auto"/>
                <w:spacing w:val="0"/>
                <w:kern w:val="2"/>
                <w:sz w:val="21"/>
                <w:szCs w:val="21"/>
              </w:rPr>
              <w:t>自合同签订之日起30个工作日内完成</w:t>
            </w:r>
          </w:p>
        </w:tc>
        <w:tc>
          <w:tcPr>
            <w:tcW w:w="1740" w:type="dxa"/>
            <w:vMerge w:val="restart"/>
            <w:noWrap/>
            <w:vAlign w:val="center"/>
          </w:tcPr>
          <w:p>
            <w:pPr>
              <w:jc w:val="center"/>
              <w:rPr>
                <w:rFonts w:ascii="宋体" w:hAnsi="宋体"/>
                <w:color w:val="auto"/>
              </w:rPr>
            </w:pPr>
            <w:r>
              <w:rPr>
                <w:rFonts w:hint="eastAsia" w:ascii="宋体" w:hAnsi="宋体"/>
                <w:color w:val="auto"/>
              </w:rPr>
              <w:t>人民币3.38万元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933" w:type="dxa"/>
            <w:vMerge w:val="continue"/>
            <w:noWrap/>
            <w:vAlign w:val="center"/>
          </w:tcPr>
          <w:p>
            <w:pPr>
              <w:jc w:val="center"/>
              <w:rPr>
                <w:rFonts w:ascii="宋体"/>
                <w:bCs/>
                <w:color w:val="auto"/>
                <w:szCs w:val="21"/>
              </w:rPr>
            </w:pPr>
          </w:p>
        </w:tc>
        <w:tc>
          <w:tcPr>
            <w:tcW w:w="2845" w:type="dxa"/>
            <w:noWrap/>
            <w:vAlign w:val="center"/>
          </w:tcPr>
          <w:p>
            <w:pPr>
              <w:jc w:val="center"/>
              <w:rPr>
                <w:rFonts w:ascii="宋体"/>
                <w:bCs/>
                <w:color w:val="auto"/>
                <w:szCs w:val="21"/>
              </w:rPr>
            </w:pPr>
            <w:r>
              <w:rPr>
                <w:rFonts w:hint="eastAsia" w:ascii="宋体"/>
                <w:bCs/>
                <w:color w:val="auto"/>
                <w:szCs w:val="21"/>
              </w:rPr>
              <w:t>职业病危害因素检测</w:t>
            </w:r>
          </w:p>
        </w:tc>
        <w:tc>
          <w:tcPr>
            <w:tcW w:w="737" w:type="dxa"/>
            <w:noWrap/>
            <w:vAlign w:val="center"/>
          </w:tcPr>
          <w:p>
            <w:pPr>
              <w:jc w:val="center"/>
              <w:rPr>
                <w:rFonts w:ascii="宋体" w:hAnsi="宋体"/>
                <w:color w:val="auto"/>
              </w:rPr>
            </w:pPr>
            <w:r>
              <w:rPr>
                <w:rFonts w:hint="eastAsia" w:ascii="宋体" w:hAnsi="宋体"/>
                <w:color w:val="auto"/>
              </w:rPr>
              <w:t>1项</w:t>
            </w:r>
          </w:p>
        </w:tc>
        <w:tc>
          <w:tcPr>
            <w:tcW w:w="2536" w:type="dxa"/>
            <w:vMerge w:val="continue"/>
            <w:noWrap/>
            <w:vAlign w:val="center"/>
          </w:tcPr>
          <w:p>
            <w:pPr>
              <w:pStyle w:val="46"/>
              <w:spacing w:line="240" w:lineRule="auto"/>
              <w:rPr>
                <w:rFonts w:ascii="宋体" w:hAnsi="宋体"/>
                <w:snapToGrid/>
                <w:color w:val="auto"/>
                <w:spacing w:val="0"/>
                <w:kern w:val="2"/>
                <w:sz w:val="21"/>
                <w:szCs w:val="21"/>
              </w:rPr>
            </w:pPr>
          </w:p>
        </w:tc>
        <w:tc>
          <w:tcPr>
            <w:tcW w:w="1740" w:type="dxa"/>
            <w:vMerge w:val="continue"/>
            <w:noWrap/>
            <w:vAlign w:val="center"/>
          </w:tcPr>
          <w:p>
            <w:pPr>
              <w:jc w:val="center"/>
              <w:rPr>
                <w:rFonts w:ascii="宋体" w:hAnsi="宋体"/>
                <w:color w:val="auto"/>
              </w:rPr>
            </w:pPr>
          </w:p>
        </w:tc>
      </w:tr>
    </w:tbl>
    <w:p>
      <w:pPr>
        <w:snapToGrid w:val="0"/>
        <w:spacing w:line="360" w:lineRule="auto"/>
        <w:rPr>
          <w:rFonts w:ascii="宋体"/>
          <w:bCs/>
          <w:color w:val="auto"/>
          <w:szCs w:val="20"/>
        </w:rPr>
      </w:pPr>
      <w:r>
        <w:rPr>
          <w:rFonts w:hint="eastAsia" w:ascii="宋体"/>
          <w:bCs/>
          <w:color w:val="auto"/>
          <w:szCs w:val="20"/>
        </w:rPr>
        <w:t>备注：详细技术参数及执行标准、规格及主要配件详见竞价文件中的“用户需求书”。</w:t>
      </w:r>
    </w:p>
    <w:p>
      <w:pPr>
        <w:numPr>
          <w:ilvl w:val="0"/>
          <w:numId w:val="3"/>
        </w:numPr>
        <w:tabs>
          <w:tab w:val="left" w:pos="426"/>
        </w:tabs>
        <w:snapToGrid w:val="0"/>
        <w:spacing w:line="360" w:lineRule="auto"/>
        <w:rPr>
          <w:rFonts w:ascii="宋体"/>
          <w:b/>
          <w:color w:val="auto"/>
          <w:szCs w:val="20"/>
        </w:rPr>
      </w:pPr>
      <w:r>
        <w:rPr>
          <w:rFonts w:hint="eastAsia" w:ascii="宋体"/>
          <w:b/>
          <w:color w:val="auto"/>
          <w:szCs w:val="20"/>
        </w:rPr>
        <w:t>合格供应商资格</w:t>
      </w:r>
    </w:p>
    <w:p>
      <w:pPr>
        <w:pStyle w:val="45"/>
        <w:numPr>
          <w:ilvl w:val="0"/>
          <w:numId w:val="4"/>
        </w:numPr>
        <w:tabs>
          <w:tab w:val="left" w:pos="567"/>
        </w:tabs>
        <w:snapToGrid w:val="0"/>
        <w:spacing w:line="360" w:lineRule="auto"/>
        <w:ind w:firstLineChars="0"/>
        <w:rPr>
          <w:rFonts w:ascii="宋体" w:hAnsi="宋体" w:cs="宋体"/>
          <w:bCs/>
          <w:color w:val="auto"/>
          <w:szCs w:val="20"/>
        </w:rPr>
      </w:pPr>
      <w:r>
        <w:rPr>
          <w:rFonts w:hint="eastAsia" w:ascii="宋体" w:hAnsi="宋体" w:cs="宋体"/>
          <w:bCs/>
          <w:color w:val="auto"/>
          <w:szCs w:val="20"/>
        </w:rPr>
        <w:t>具备具有独立承担民事责任的能力；</w:t>
      </w:r>
    </w:p>
    <w:p>
      <w:pPr>
        <w:pStyle w:val="45"/>
        <w:numPr>
          <w:ilvl w:val="0"/>
          <w:numId w:val="4"/>
        </w:numPr>
        <w:tabs>
          <w:tab w:val="left" w:pos="567"/>
        </w:tabs>
        <w:snapToGrid w:val="0"/>
        <w:spacing w:line="360" w:lineRule="auto"/>
        <w:ind w:firstLineChars="0"/>
        <w:rPr>
          <w:rFonts w:ascii="宋体" w:hAnsi="宋体" w:cs="宋体"/>
          <w:bCs/>
          <w:color w:val="auto"/>
          <w:szCs w:val="20"/>
        </w:rPr>
      </w:pPr>
      <w:r>
        <w:rPr>
          <w:rFonts w:hint="eastAsia" w:ascii="宋体" w:hAnsi="宋体" w:cs="宋体"/>
          <w:bCs/>
          <w:color w:val="auto"/>
          <w:szCs w:val="20"/>
        </w:rPr>
        <w:t>供应商未被列入“信用中国”网站(www.creditchina.gov.cn)“记录失信被执行人或重大税收违法案件当事人名单（税收违法黑名单）或政府采购严重违法失信行为”记录名单；不处于中国政府采购网(www.ccgp.gov.cn)“政府采购严重违法失信行为信息记录”中的禁止参加政府采购活动期间。（以代理机构工作人员于投标（响应）截止时间当天在“信用中国”网站（www.creditchina.gov.cn）及中国政府采购网（http://www.ccgp.gov.cn/）查询结果为准，如相关失信记录已失效，供应商需提供相关证明资料。</w:t>
      </w:r>
    </w:p>
    <w:p>
      <w:pPr>
        <w:pStyle w:val="45"/>
        <w:numPr>
          <w:ilvl w:val="0"/>
          <w:numId w:val="4"/>
        </w:numPr>
        <w:tabs>
          <w:tab w:val="left" w:pos="567"/>
        </w:tabs>
        <w:snapToGrid w:val="0"/>
        <w:spacing w:line="360" w:lineRule="auto"/>
        <w:ind w:firstLineChars="0"/>
        <w:rPr>
          <w:rFonts w:ascii="宋体" w:hAnsi="宋体" w:cs="宋体"/>
          <w:bCs/>
          <w:color w:val="auto"/>
          <w:szCs w:val="20"/>
        </w:rPr>
      </w:pPr>
      <w:r>
        <w:rPr>
          <w:rFonts w:hint="eastAsia" w:ascii="宋体" w:hAnsi="宋体" w:cs="宋体"/>
          <w:bCs/>
          <w:color w:val="auto"/>
          <w:szCs w:val="20"/>
        </w:rPr>
        <w:t>本项目各包组均不接受联合体投标。</w:t>
      </w:r>
    </w:p>
    <w:p>
      <w:pPr>
        <w:numPr>
          <w:ilvl w:val="0"/>
          <w:numId w:val="3"/>
        </w:numPr>
        <w:tabs>
          <w:tab w:val="left" w:pos="426"/>
        </w:tabs>
        <w:adjustRightInd w:val="0"/>
        <w:snapToGrid w:val="0"/>
        <w:spacing w:line="360" w:lineRule="auto"/>
        <w:rPr>
          <w:rFonts w:ascii="宋体"/>
          <w:b/>
          <w:color w:val="auto"/>
          <w:szCs w:val="20"/>
        </w:rPr>
      </w:pPr>
      <w:r>
        <w:rPr>
          <w:rFonts w:hint="eastAsia" w:ascii="宋体"/>
          <w:b/>
          <w:color w:val="auto"/>
          <w:szCs w:val="20"/>
        </w:rPr>
        <w:t>报价文件递交</w:t>
      </w:r>
    </w:p>
    <w:p>
      <w:pPr>
        <w:adjustRightInd w:val="0"/>
        <w:snapToGrid w:val="0"/>
        <w:spacing w:line="360" w:lineRule="auto"/>
        <w:rPr>
          <w:rFonts w:ascii="宋体" w:hAnsi="宋体" w:cs="宋体"/>
          <w:b/>
          <w:bCs/>
          <w:color w:val="auto"/>
          <w:szCs w:val="21"/>
        </w:rPr>
      </w:pPr>
      <w:r>
        <w:rPr>
          <w:rFonts w:hint="eastAsia" w:ascii="宋体" w:hAnsi="宋体" w:cs="宋体"/>
          <w:b/>
          <w:bCs/>
          <w:color w:val="auto"/>
          <w:szCs w:val="21"/>
        </w:rPr>
        <w:t>1.报价文件份数：</w:t>
      </w:r>
      <w:r>
        <w:rPr>
          <w:rFonts w:hint="eastAsia" w:ascii="宋体" w:hAnsi="宋体" w:cs="宋体"/>
          <w:color w:val="auto"/>
          <w:szCs w:val="21"/>
        </w:rPr>
        <w:t>正本一份，副本三份，电子文件（word、PDF或扫描件均可）一份。</w:t>
      </w:r>
    </w:p>
    <w:p>
      <w:pPr>
        <w:autoSpaceDE w:val="0"/>
        <w:autoSpaceDN w:val="0"/>
        <w:adjustRightInd w:val="0"/>
        <w:snapToGrid w:val="0"/>
        <w:spacing w:line="360" w:lineRule="auto"/>
        <w:jc w:val="left"/>
        <w:rPr>
          <w:rFonts w:ascii="宋体" w:hAnsi="宋体"/>
          <w:b/>
          <w:bCs/>
          <w:color w:val="auto"/>
          <w:szCs w:val="21"/>
        </w:rPr>
      </w:pPr>
      <w:r>
        <w:rPr>
          <w:rFonts w:hint="eastAsia" w:ascii="宋体" w:hAnsi="宋体" w:cs="宋体"/>
          <w:b/>
          <w:bCs/>
          <w:color w:val="auto"/>
          <w:szCs w:val="21"/>
        </w:rPr>
        <w:t>2.报价文件封装</w:t>
      </w:r>
      <w:r>
        <w:rPr>
          <w:rFonts w:hint="eastAsia" w:ascii="宋体" w:hAnsi="宋体"/>
          <w:b/>
          <w:bCs/>
          <w:color w:val="auto"/>
          <w:szCs w:val="21"/>
        </w:rPr>
        <w:t>：</w:t>
      </w:r>
    </w:p>
    <w:p>
      <w:pPr>
        <w:tabs>
          <w:tab w:val="left" w:pos="851"/>
        </w:tabs>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rPr>
        <w:t>2.1 清楚写明响应供应商名称和地址。</w:t>
      </w:r>
    </w:p>
    <w:p>
      <w:pPr>
        <w:tabs>
          <w:tab w:val="left" w:pos="851"/>
        </w:tabs>
        <w:autoSpaceDE w:val="0"/>
        <w:autoSpaceDN w:val="0"/>
        <w:adjustRightInd w:val="0"/>
        <w:snapToGrid w:val="0"/>
        <w:spacing w:line="360" w:lineRule="auto"/>
        <w:jc w:val="left"/>
        <w:rPr>
          <w:rFonts w:ascii="宋体" w:hAnsi="宋体" w:cs="宋体"/>
          <w:color w:val="auto"/>
          <w:szCs w:val="21"/>
        </w:rPr>
      </w:pPr>
      <w:r>
        <w:rPr>
          <w:rFonts w:hint="eastAsia" w:ascii="宋体" w:hAnsi="宋体"/>
          <w:color w:val="auto"/>
          <w:szCs w:val="21"/>
        </w:rPr>
        <w:t>2.2 注明竞价文件中指明的项目名称</w:t>
      </w:r>
      <w:r>
        <w:rPr>
          <w:rFonts w:hint="eastAsia" w:ascii="宋体" w:hAnsi="宋体" w:cs="宋体"/>
          <w:color w:val="auto"/>
          <w:szCs w:val="21"/>
          <w:lang w:eastAsia="zh-TW"/>
        </w:rPr>
        <w:t>、</w:t>
      </w:r>
      <w:r>
        <w:rPr>
          <w:rFonts w:hint="eastAsia" w:ascii="宋体" w:hAnsi="宋体" w:cs="宋体"/>
          <w:color w:val="auto"/>
          <w:szCs w:val="21"/>
        </w:rPr>
        <w:t>项目</w:t>
      </w:r>
      <w:r>
        <w:rPr>
          <w:rFonts w:hint="eastAsia" w:ascii="宋体" w:hAnsi="宋体" w:cs="宋体"/>
          <w:color w:val="auto"/>
          <w:szCs w:val="21"/>
          <w:lang w:eastAsia="zh-TW"/>
        </w:rPr>
        <w:t>编号和</w:t>
      </w:r>
      <w:r>
        <w:rPr>
          <w:rFonts w:hint="eastAsia" w:ascii="宋体" w:hAnsi="宋体"/>
          <w:color w:val="auto"/>
          <w:szCs w:val="21"/>
        </w:rPr>
        <w:t>“</w:t>
      </w:r>
      <w:r>
        <w:rPr>
          <w:rFonts w:hint="eastAsia" w:ascii="宋体" w:hAnsi="宋体" w:cs="宋体"/>
          <w:color w:val="auto"/>
          <w:szCs w:val="21"/>
          <w:lang w:eastAsia="zh-TW"/>
        </w:rPr>
        <w:t>在</w:t>
      </w:r>
      <w:r>
        <w:rPr>
          <w:rFonts w:hint="eastAsia" w:ascii="宋体" w:hAnsi="宋体" w:cs="宋体"/>
          <w:color w:val="auto"/>
          <w:szCs w:val="21"/>
        </w:rPr>
        <w:t>竞价文件中规定的</w:t>
      </w:r>
      <w:r>
        <w:rPr>
          <w:rFonts w:ascii="宋体" w:hAnsi="宋体" w:cs="宋体"/>
          <w:color w:val="auto"/>
          <w:szCs w:val="21"/>
        </w:rPr>
        <w:t>(</w:t>
      </w:r>
      <w:r>
        <w:rPr>
          <w:rFonts w:hint="eastAsia" w:ascii="宋体" w:hAnsi="宋体" w:cs="宋体"/>
          <w:color w:val="auto"/>
          <w:szCs w:val="21"/>
        </w:rPr>
        <w:t>报价文件递交截止日期和时间</w:t>
      </w:r>
      <w:r>
        <w:rPr>
          <w:rFonts w:ascii="宋体" w:hAnsi="宋体" w:cs="宋体"/>
          <w:color w:val="auto"/>
          <w:szCs w:val="21"/>
        </w:rPr>
        <w:t>)</w:t>
      </w:r>
      <w:r>
        <w:rPr>
          <w:rFonts w:hint="eastAsia" w:ascii="宋体" w:hAnsi="宋体" w:cs="宋体"/>
          <w:color w:val="auto"/>
          <w:szCs w:val="21"/>
        </w:rPr>
        <w:t>之前不得启封”的</w:t>
      </w:r>
      <w:r>
        <w:rPr>
          <w:rFonts w:hint="eastAsia" w:ascii="宋体" w:hAnsi="宋体" w:cs="宋体"/>
          <w:color w:val="auto"/>
          <w:szCs w:val="21"/>
          <w:lang w:eastAsia="zh-TW"/>
        </w:rPr>
        <w:t>字样。</w:t>
      </w:r>
    </w:p>
    <w:p>
      <w:pPr>
        <w:autoSpaceDE w:val="0"/>
        <w:autoSpaceDN w:val="0"/>
        <w:adjustRightInd w:val="0"/>
        <w:snapToGrid w:val="0"/>
        <w:spacing w:line="360" w:lineRule="auto"/>
        <w:jc w:val="left"/>
        <w:rPr>
          <w:rFonts w:ascii="宋体" w:hAnsi="宋体" w:cs="宋体"/>
          <w:color w:val="auto"/>
          <w:szCs w:val="21"/>
        </w:rPr>
      </w:pPr>
      <w:r>
        <w:rPr>
          <w:rFonts w:hint="eastAsia" w:ascii="宋体" w:hAnsi="宋体" w:cs="宋体"/>
          <w:b/>
          <w:bCs/>
          <w:color w:val="auto"/>
          <w:szCs w:val="21"/>
          <w:u w:val="double"/>
          <w:lang w:eastAsia="zh-TW"/>
        </w:rPr>
        <w:t>如果未按</w:t>
      </w:r>
      <w:r>
        <w:rPr>
          <w:rFonts w:hint="eastAsia" w:ascii="宋体" w:hAnsi="宋体" w:cs="宋体"/>
          <w:b/>
          <w:bCs/>
          <w:color w:val="auto"/>
          <w:szCs w:val="21"/>
          <w:u w:val="double"/>
        </w:rPr>
        <w:t>上款</w:t>
      </w:r>
      <w:r>
        <w:rPr>
          <w:rFonts w:hint="eastAsia" w:ascii="宋体" w:hAnsi="宋体" w:cs="宋体"/>
          <w:b/>
          <w:bCs/>
          <w:color w:val="auto"/>
          <w:szCs w:val="21"/>
          <w:u w:val="double"/>
          <w:lang w:eastAsia="zh-TW"/>
        </w:rPr>
        <w:t>要求加写标记和</w:t>
      </w:r>
      <w:r>
        <w:rPr>
          <w:rFonts w:hint="eastAsia" w:ascii="宋体" w:hAnsi="宋体" w:cs="宋体"/>
          <w:b/>
          <w:bCs/>
          <w:color w:val="auto"/>
          <w:szCs w:val="21"/>
          <w:u w:val="double"/>
        </w:rPr>
        <w:t>密封，</w:t>
      </w:r>
      <w:r>
        <w:rPr>
          <w:rFonts w:hint="eastAsia" w:ascii="宋体" w:hAnsi="宋体" w:cs="宋体"/>
          <w:b/>
          <w:bCs/>
          <w:color w:val="auto"/>
          <w:szCs w:val="21"/>
          <w:u w:val="double"/>
          <w:lang w:eastAsia="zh-TW"/>
        </w:rPr>
        <w:t>招标代理机构对误投或提前启封概不负责</w:t>
      </w:r>
      <w:r>
        <w:rPr>
          <w:rFonts w:hint="eastAsia" w:ascii="宋体" w:hAnsi="宋体" w:cs="宋体"/>
          <w:b/>
          <w:bCs/>
          <w:color w:val="auto"/>
          <w:szCs w:val="21"/>
          <w:u w:val="double"/>
        </w:rPr>
        <w:t>。</w:t>
      </w:r>
    </w:p>
    <w:p>
      <w:pPr>
        <w:autoSpaceDE w:val="0"/>
        <w:autoSpaceDN w:val="0"/>
        <w:adjustRightInd w:val="0"/>
        <w:snapToGrid w:val="0"/>
        <w:spacing w:line="360" w:lineRule="auto"/>
        <w:jc w:val="left"/>
        <w:rPr>
          <w:rFonts w:ascii="宋体" w:hAnsi="宋体"/>
          <w:color w:val="auto"/>
          <w:szCs w:val="21"/>
        </w:rPr>
      </w:pPr>
      <w:r>
        <w:rPr>
          <w:rFonts w:hint="eastAsia" w:ascii="宋体" w:hAnsi="宋体" w:cs="宋体"/>
          <w:b/>
          <w:bCs/>
          <w:color w:val="auto"/>
          <w:szCs w:val="21"/>
        </w:rPr>
        <w:t>3.报价文件递交截止时间：</w:t>
      </w:r>
      <w:r>
        <w:rPr>
          <w:rFonts w:hint="eastAsia" w:ascii="宋体" w:hAnsi="宋体"/>
          <w:color w:val="auto"/>
          <w:szCs w:val="21"/>
        </w:rPr>
        <w:t>2023年</w:t>
      </w:r>
      <w:r>
        <w:rPr>
          <w:rFonts w:hint="eastAsia" w:ascii="宋体" w:hAnsi="宋体"/>
          <w:color w:val="auto"/>
          <w:szCs w:val="21"/>
          <w:lang w:val="en-US" w:eastAsia="zh-CN"/>
        </w:rPr>
        <w:t>3</w:t>
      </w:r>
      <w:r>
        <w:rPr>
          <w:rFonts w:hint="eastAsia" w:ascii="宋体" w:hAnsi="宋体"/>
          <w:color w:val="auto"/>
          <w:szCs w:val="21"/>
        </w:rPr>
        <w:t>月</w:t>
      </w:r>
      <w:r>
        <w:rPr>
          <w:rFonts w:hint="eastAsia" w:ascii="宋体" w:hAnsi="宋体"/>
          <w:color w:val="auto"/>
          <w:szCs w:val="21"/>
          <w:lang w:val="en-US" w:eastAsia="zh-CN"/>
        </w:rPr>
        <w:t>27</w:t>
      </w:r>
      <w:r>
        <w:rPr>
          <w:rFonts w:hint="eastAsia" w:ascii="宋体" w:hAnsi="宋体"/>
          <w:color w:val="auto"/>
          <w:szCs w:val="21"/>
        </w:rPr>
        <w:t>日14时30分（报价文件递交时间：2023年</w:t>
      </w:r>
      <w:r>
        <w:rPr>
          <w:rFonts w:hint="eastAsia" w:ascii="宋体" w:hAnsi="宋体"/>
          <w:color w:val="auto"/>
          <w:szCs w:val="21"/>
          <w:lang w:val="en-US" w:eastAsia="zh-CN"/>
        </w:rPr>
        <w:t>3</w:t>
      </w:r>
      <w:r>
        <w:rPr>
          <w:rFonts w:hint="eastAsia" w:ascii="宋体" w:hAnsi="宋体"/>
          <w:color w:val="auto"/>
          <w:szCs w:val="21"/>
        </w:rPr>
        <w:t>月</w:t>
      </w:r>
      <w:r>
        <w:rPr>
          <w:rFonts w:hint="eastAsia" w:ascii="宋体" w:hAnsi="宋体"/>
          <w:color w:val="auto"/>
          <w:szCs w:val="21"/>
          <w:lang w:val="en-US" w:eastAsia="zh-CN"/>
        </w:rPr>
        <w:t>27</w:t>
      </w:r>
      <w:r>
        <w:rPr>
          <w:rFonts w:hint="eastAsia" w:ascii="宋体" w:hAnsi="宋体"/>
          <w:color w:val="auto"/>
          <w:szCs w:val="21"/>
        </w:rPr>
        <w:t>日14：00～14：30）</w:t>
      </w:r>
    </w:p>
    <w:p>
      <w:pPr>
        <w:autoSpaceDE w:val="0"/>
        <w:autoSpaceDN w:val="0"/>
        <w:adjustRightInd w:val="0"/>
        <w:snapToGrid w:val="0"/>
        <w:spacing w:line="360" w:lineRule="auto"/>
        <w:jc w:val="left"/>
        <w:rPr>
          <w:rFonts w:ascii="宋体" w:hAnsi="宋体" w:cs="宋体"/>
          <w:b/>
          <w:bCs/>
          <w:color w:val="auto"/>
          <w:szCs w:val="21"/>
        </w:rPr>
      </w:pPr>
      <w:r>
        <w:rPr>
          <w:rFonts w:hint="eastAsia" w:ascii="宋体" w:hAnsi="宋体" w:cs="宋体"/>
          <w:b/>
          <w:bCs/>
          <w:color w:val="auto"/>
          <w:szCs w:val="21"/>
        </w:rPr>
        <w:t>4.提交报价文件地点：</w:t>
      </w:r>
      <w:r>
        <w:rPr>
          <w:rFonts w:hint="eastAsia" w:ascii="宋体" w:hAnsi="宋体" w:cs="宋体"/>
          <w:color w:val="auto"/>
          <w:szCs w:val="21"/>
        </w:rPr>
        <w:t>广州市花都区凤凰北路41号华夏商务大厦12楼广东秤风采购招标有限公司会议室</w:t>
      </w:r>
    </w:p>
    <w:p>
      <w:pPr>
        <w:numPr>
          <w:ilvl w:val="0"/>
          <w:numId w:val="3"/>
        </w:numPr>
        <w:tabs>
          <w:tab w:val="left" w:pos="426"/>
          <w:tab w:val="left" w:pos="709"/>
        </w:tabs>
        <w:snapToGrid w:val="0"/>
        <w:spacing w:line="360" w:lineRule="auto"/>
        <w:rPr>
          <w:rFonts w:ascii="宋体"/>
          <w:b/>
          <w:color w:val="auto"/>
          <w:szCs w:val="20"/>
        </w:rPr>
      </w:pPr>
      <w:r>
        <w:rPr>
          <w:rFonts w:hint="eastAsia" w:ascii="宋体"/>
          <w:b/>
          <w:color w:val="auto"/>
          <w:szCs w:val="20"/>
        </w:rPr>
        <w:t>联系事项</w:t>
      </w:r>
      <w:bookmarkStart w:id="39" w:name="_GoBack"/>
      <w:bookmarkEnd w:id="39"/>
    </w:p>
    <w:p>
      <w:pPr>
        <w:pStyle w:val="45"/>
        <w:numPr>
          <w:ilvl w:val="0"/>
          <w:numId w:val="5"/>
        </w:numPr>
        <w:tabs>
          <w:tab w:val="left" w:pos="567"/>
        </w:tabs>
        <w:snapToGrid w:val="0"/>
        <w:spacing w:line="360" w:lineRule="auto"/>
        <w:ind w:firstLineChars="0"/>
        <w:rPr>
          <w:rFonts w:ascii="宋体"/>
          <w:bCs/>
          <w:color w:val="auto"/>
          <w:szCs w:val="20"/>
        </w:rPr>
      </w:pPr>
      <w:r>
        <w:rPr>
          <w:rFonts w:hint="eastAsia" w:ascii="宋体"/>
          <w:bCs/>
          <w:color w:val="auto"/>
          <w:szCs w:val="20"/>
        </w:rPr>
        <w:t>招标人：</w:t>
      </w:r>
      <w:r>
        <w:rPr>
          <w:rFonts w:hint="eastAsia" w:ascii="宋体" w:hAnsi="宋体"/>
          <w:color w:val="auto"/>
          <w:szCs w:val="21"/>
        </w:rPr>
        <w:t>广州花都区农产品质量安全监督检测中心</w:t>
      </w:r>
    </w:p>
    <w:p>
      <w:pPr>
        <w:tabs>
          <w:tab w:val="left" w:pos="426"/>
          <w:tab w:val="left" w:pos="709"/>
        </w:tabs>
        <w:snapToGrid w:val="0"/>
        <w:spacing w:line="360" w:lineRule="auto"/>
        <w:ind w:left="420"/>
        <w:rPr>
          <w:rFonts w:ascii="宋体" w:hAnsi="宋体"/>
          <w:color w:val="auto"/>
          <w:szCs w:val="21"/>
        </w:rPr>
      </w:pPr>
      <w:r>
        <w:rPr>
          <w:rFonts w:hint="eastAsia" w:ascii="宋体" w:hAnsi="宋体"/>
          <w:color w:val="auto"/>
          <w:szCs w:val="21"/>
        </w:rPr>
        <w:t>地址：广州市花都区新</w:t>
      </w:r>
      <w:r>
        <w:rPr>
          <w:rFonts w:ascii="宋体" w:hAnsi="宋体"/>
          <w:color w:val="auto"/>
          <w:szCs w:val="21"/>
        </w:rPr>
        <w:t>华街</w:t>
      </w:r>
      <w:r>
        <w:rPr>
          <w:rFonts w:hint="eastAsia" w:ascii="宋体" w:hAnsi="宋体"/>
          <w:color w:val="auto"/>
          <w:szCs w:val="21"/>
        </w:rPr>
        <w:t>建设路53号</w:t>
      </w:r>
    </w:p>
    <w:p>
      <w:pPr>
        <w:tabs>
          <w:tab w:val="left" w:pos="426"/>
          <w:tab w:val="left" w:pos="709"/>
        </w:tabs>
        <w:snapToGrid w:val="0"/>
        <w:spacing w:line="360" w:lineRule="auto"/>
        <w:ind w:left="420"/>
        <w:rPr>
          <w:rFonts w:ascii="宋体" w:hAnsi="宋体"/>
          <w:color w:val="auto"/>
          <w:szCs w:val="21"/>
        </w:rPr>
      </w:pPr>
      <w:r>
        <w:rPr>
          <w:rFonts w:hint="eastAsia" w:ascii="宋体" w:hAnsi="宋体"/>
          <w:color w:val="auto"/>
          <w:szCs w:val="21"/>
        </w:rPr>
        <w:t>联系人：卢先生</w:t>
      </w:r>
    </w:p>
    <w:p>
      <w:pPr>
        <w:tabs>
          <w:tab w:val="left" w:pos="426"/>
          <w:tab w:val="left" w:pos="709"/>
        </w:tabs>
        <w:snapToGrid w:val="0"/>
        <w:spacing w:line="360" w:lineRule="auto"/>
        <w:ind w:left="420"/>
        <w:rPr>
          <w:rFonts w:ascii="宋体" w:hAnsi="宋体"/>
          <w:color w:val="auto"/>
          <w:szCs w:val="21"/>
        </w:rPr>
      </w:pPr>
      <w:r>
        <w:rPr>
          <w:rFonts w:hint="eastAsia" w:ascii="宋体" w:hAnsi="宋体"/>
          <w:color w:val="auto"/>
          <w:szCs w:val="21"/>
        </w:rPr>
        <w:t>联系电话：</w:t>
      </w:r>
      <w:r>
        <w:rPr>
          <w:rFonts w:ascii="宋体" w:hAnsi="宋体"/>
          <w:color w:val="auto"/>
          <w:szCs w:val="21"/>
        </w:rPr>
        <w:t>020-</w:t>
      </w:r>
      <w:r>
        <w:rPr>
          <w:rFonts w:hint="eastAsia" w:ascii="宋体" w:hAnsi="宋体"/>
          <w:color w:val="auto"/>
          <w:szCs w:val="21"/>
        </w:rPr>
        <w:t>36990890</w:t>
      </w:r>
    </w:p>
    <w:p>
      <w:pPr>
        <w:pStyle w:val="45"/>
        <w:numPr>
          <w:ilvl w:val="0"/>
          <w:numId w:val="5"/>
        </w:numPr>
        <w:tabs>
          <w:tab w:val="left" w:pos="567"/>
        </w:tabs>
        <w:snapToGrid w:val="0"/>
        <w:spacing w:line="360" w:lineRule="auto"/>
        <w:ind w:firstLineChars="0"/>
        <w:rPr>
          <w:rFonts w:ascii="宋体"/>
          <w:bCs/>
          <w:color w:val="auto"/>
          <w:szCs w:val="20"/>
        </w:rPr>
      </w:pPr>
      <w:r>
        <w:rPr>
          <w:rFonts w:hint="eastAsia" w:ascii="宋体" w:hAnsi="宋体"/>
          <w:color w:val="auto"/>
          <w:szCs w:val="21"/>
        </w:rPr>
        <w:t>招标代理机构：</w:t>
      </w:r>
      <w:r>
        <w:rPr>
          <w:rFonts w:hint="eastAsia" w:ascii="宋体" w:hAnsi="宋体"/>
          <w:color w:val="auto"/>
        </w:rPr>
        <w:t>广东秤风采购招标有限公司</w:t>
      </w:r>
    </w:p>
    <w:p>
      <w:pPr>
        <w:tabs>
          <w:tab w:val="left" w:pos="426"/>
          <w:tab w:val="left" w:pos="709"/>
        </w:tabs>
        <w:snapToGrid w:val="0"/>
        <w:spacing w:line="360" w:lineRule="auto"/>
        <w:ind w:left="420"/>
        <w:rPr>
          <w:rFonts w:ascii="宋体" w:hAnsi="宋体"/>
          <w:color w:val="auto"/>
        </w:rPr>
      </w:pPr>
      <w:r>
        <w:rPr>
          <w:rFonts w:hint="eastAsia" w:ascii="宋体" w:hAnsi="宋体"/>
          <w:color w:val="auto"/>
        </w:rPr>
        <w:t>地址：广州市花都区凤凰北路41号华夏商务大厦1204房</w:t>
      </w:r>
    </w:p>
    <w:p>
      <w:pPr>
        <w:tabs>
          <w:tab w:val="left" w:pos="426"/>
          <w:tab w:val="left" w:pos="709"/>
        </w:tabs>
        <w:snapToGrid w:val="0"/>
        <w:spacing w:line="360" w:lineRule="auto"/>
        <w:ind w:left="420"/>
        <w:rPr>
          <w:rFonts w:ascii="宋体" w:hAnsi="宋体"/>
          <w:color w:val="auto"/>
          <w:szCs w:val="21"/>
        </w:rPr>
      </w:pPr>
      <w:r>
        <w:rPr>
          <w:rFonts w:hint="eastAsia" w:ascii="宋体" w:hAnsi="宋体"/>
          <w:color w:val="auto"/>
          <w:szCs w:val="21"/>
        </w:rPr>
        <w:t>联系人：张小姐</w:t>
      </w:r>
    </w:p>
    <w:p>
      <w:pPr>
        <w:tabs>
          <w:tab w:val="left" w:pos="426"/>
          <w:tab w:val="left" w:pos="709"/>
        </w:tabs>
        <w:snapToGrid w:val="0"/>
        <w:spacing w:line="360" w:lineRule="auto"/>
        <w:ind w:left="420"/>
        <w:rPr>
          <w:rFonts w:ascii="宋体" w:hAnsi="宋体"/>
          <w:color w:val="auto"/>
          <w:szCs w:val="21"/>
        </w:rPr>
      </w:pPr>
      <w:r>
        <w:rPr>
          <w:rFonts w:hint="eastAsia" w:ascii="宋体" w:hAnsi="宋体"/>
          <w:color w:val="auto"/>
          <w:szCs w:val="21"/>
        </w:rPr>
        <w:t>联系电话：020-37726707-310</w:t>
      </w:r>
    </w:p>
    <w:p>
      <w:pPr>
        <w:numPr>
          <w:ilvl w:val="0"/>
          <w:numId w:val="3"/>
        </w:numPr>
        <w:tabs>
          <w:tab w:val="left" w:pos="426"/>
          <w:tab w:val="left" w:pos="709"/>
        </w:tabs>
        <w:snapToGrid w:val="0"/>
        <w:spacing w:line="360" w:lineRule="auto"/>
        <w:rPr>
          <w:rFonts w:ascii="宋体" w:hAnsi="宋体"/>
          <w:b/>
          <w:color w:val="auto"/>
          <w:szCs w:val="21"/>
        </w:rPr>
      </w:pPr>
      <w:r>
        <w:rPr>
          <w:rFonts w:hint="eastAsia" w:ascii="宋体"/>
          <w:b/>
          <w:color w:val="auto"/>
          <w:szCs w:val="20"/>
        </w:rPr>
        <w:t>本项目相关公告在中国招标投标公共服务平台（http://www.cebpubservice.com/）及招标代理机构网站（www.gdcf.net.cn）上发布。</w:t>
      </w:r>
      <w:r>
        <w:rPr>
          <w:rFonts w:hint="eastAsia" w:ascii="宋体" w:hAnsi="宋体"/>
          <w:b/>
          <w:color w:val="auto"/>
          <w:szCs w:val="21"/>
        </w:rPr>
        <w:t>相关公告在媒体上公布之日即视为有效送达，不再另行通知。</w:t>
      </w:r>
    </w:p>
    <w:p>
      <w:pPr>
        <w:adjustRightInd w:val="0"/>
        <w:snapToGrid w:val="0"/>
        <w:spacing w:line="360" w:lineRule="auto"/>
        <w:ind w:right="315" w:rightChars="150"/>
        <w:rPr>
          <w:rFonts w:ascii="宋体" w:hAnsi="宋体"/>
          <w:color w:val="auto"/>
          <w:szCs w:val="18"/>
        </w:rPr>
      </w:pPr>
    </w:p>
    <w:p>
      <w:pPr>
        <w:adjustRightInd w:val="0"/>
        <w:snapToGrid w:val="0"/>
        <w:spacing w:line="360" w:lineRule="auto"/>
        <w:ind w:left="425" w:right="315" w:rightChars="150"/>
        <w:rPr>
          <w:rFonts w:ascii="宋体" w:hAnsi="宋体"/>
          <w:b/>
          <w:color w:val="auto"/>
          <w:szCs w:val="18"/>
          <w:u w:val="double"/>
        </w:rPr>
      </w:pPr>
    </w:p>
    <w:p>
      <w:pPr>
        <w:snapToGrid w:val="0"/>
        <w:spacing w:line="360" w:lineRule="auto"/>
        <w:ind w:right="315" w:rightChars="150" w:firstLine="435"/>
        <w:jc w:val="right"/>
        <w:rPr>
          <w:b/>
          <w:color w:val="auto"/>
        </w:rPr>
      </w:pPr>
    </w:p>
    <w:p>
      <w:pPr>
        <w:tabs>
          <w:tab w:val="left" w:pos="8222"/>
        </w:tabs>
        <w:snapToGrid w:val="0"/>
        <w:spacing w:line="360" w:lineRule="auto"/>
        <w:ind w:right="-57" w:rightChars="-27" w:firstLine="435"/>
        <w:jc w:val="right"/>
        <w:rPr>
          <w:color w:val="auto"/>
        </w:rPr>
      </w:pPr>
      <w:r>
        <w:rPr>
          <w:rFonts w:hint="eastAsia"/>
          <w:color w:val="auto"/>
        </w:rPr>
        <w:t>广东秤风采购招标有限公司</w:t>
      </w:r>
    </w:p>
    <w:p>
      <w:pPr>
        <w:tabs>
          <w:tab w:val="left" w:pos="8222"/>
        </w:tabs>
        <w:snapToGrid w:val="0"/>
        <w:spacing w:line="360" w:lineRule="auto"/>
        <w:ind w:right="-57" w:rightChars="-27" w:firstLine="435"/>
        <w:jc w:val="right"/>
        <w:rPr>
          <w:rFonts w:ascii="宋体" w:hAnsi="宋体"/>
          <w:b/>
          <w:color w:val="auto"/>
          <w:sz w:val="50"/>
          <w:szCs w:val="50"/>
        </w:rPr>
      </w:pPr>
      <w:bookmarkStart w:id="3" w:name="_Toc457466590"/>
      <w:r>
        <w:rPr>
          <w:rFonts w:hint="eastAsia" w:ascii="宋体" w:hAnsi="宋体"/>
          <w:color w:val="auto"/>
        </w:rPr>
        <w:t>2023年</w:t>
      </w:r>
      <w:r>
        <w:rPr>
          <w:rFonts w:hint="eastAsia" w:ascii="宋体" w:hAnsi="宋体"/>
          <w:color w:val="auto"/>
          <w:lang w:val="en-US" w:eastAsia="zh-CN"/>
        </w:rPr>
        <w:t>3</w:t>
      </w:r>
      <w:r>
        <w:rPr>
          <w:rFonts w:hint="eastAsia" w:ascii="宋体" w:hAnsi="宋体"/>
          <w:color w:val="auto"/>
        </w:rPr>
        <w:t>月</w:t>
      </w:r>
      <w:r>
        <w:rPr>
          <w:rFonts w:hint="eastAsia" w:ascii="宋体" w:hAnsi="宋体"/>
          <w:color w:val="auto"/>
          <w:lang w:val="en-US" w:eastAsia="zh-CN"/>
        </w:rPr>
        <w:t>21</w:t>
      </w:r>
      <w:r>
        <w:rPr>
          <w:rFonts w:hint="eastAsia" w:ascii="宋体" w:hAnsi="宋体"/>
          <w:color w:val="auto"/>
        </w:rPr>
        <w:t>日</w:t>
      </w:r>
      <w:bookmarkEnd w:id="3"/>
    </w:p>
    <w:p>
      <w:pPr>
        <w:adjustRightInd w:val="0"/>
        <w:snapToGrid w:val="0"/>
        <w:spacing w:line="360" w:lineRule="auto"/>
        <w:jc w:val="center"/>
        <w:rPr>
          <w:rFonts w:ascii="宋体" w:hAnsi="宋体"/>
          <w:b/>
          <w:color w:val="auto"/>
          <w:sz w:val="30"/>
          <w:szCs w:val="30"/>
        </w:rPr>
      </w:pPr>
      <w:r>
        <w:rPr>
          <w:rFonts w:ascii="宋体" w:hAnsi="宋体"/>
          <w:b/>
          <w:color w:val="auto"/>
          <w:sz w:val="36"/>
          <w:szCs w:val="36"/>
        </w:rPr>
        <w:br w:type="page"/>
      </w:r>
      <w:bookmarkStart w:id="4" w:name="_Toc457466592"/>
      <w:bookmarkStart w:id="5" w:name="_Toc15542"/>
      <w:bookmarkStart w:id="6" w:name="_Toc423350473"/>
      <w:r>
        <w:rPr>
          <w:rFonts w:hint="eastAsia"/>
          <w:b/>
          <w:bCs/>
          <w:color w:val="auto"/>
          <w:kern w:val="0"/>
          <w:sz w:val="30"/>
          <w:szCs w:val="30"/>
        </w:rPr>
        <w:t>须知</w:t>
      </w:r>
      <w:bookmarkEnd w:id="4"/>
      <w:bookmarkEnd w:id="5"/>
      <w:bookmarkEnd w:id="6"/>
      <w:r>
        <w:rPr>
          <w:rFonts w:hint="eastAsia"/>
          <w:b/>
          <w:bCs/>
          <w:color w:val="auto"/>
          <w:kern w:val="0"/>
          <w:sz w:val="30"/>
          <w:szCs w:val="30"/>
        </w:rPr>
        <w:t>说明</w:t>
      </w:r>
    </w:p>
    <w:p>
      <w:pPr>
        <w:numPr>
          <w:ilvl w:val="0"/>
          <w:numId w:val="6"/>
        </w:numPr>
        <w:autoSpaceDE w:val="0"/>
        <w:autoSpaceDN w:val="0"/>
        <w:adjustRightInd w:val="0"/>
        <w:snapToGrid w:val="0"/>
        <w:spacing w:line="360" w:lineRule="auto"/>
        <w:rPr>
          <w:rFonts w:ascii="宋体" w:hAnsi="宋体"/>
          <w:b/>
          <w:color w:val="auto"/>
          <w:szCs w:val="21"/>
        </w:rPr>
      </w:pPr>
      <w:bookmarkStart w:id="7" w:name="_Toc457466623"/>
      <w:bookmarkStart w:id="8" w:name="_Toc423350503"/>
      <w:bookmarkStart w:id="9" w:name="_Toc371432365"/>
      <w:r>
        <w:rPr>
          <w:rFonts w:hint="eastAsia" w:ascii="宋体" w:hAnsi="宋体" w:cs="黑体"/>
          <w:b/>
          <w:bCs/>
          <w:color w:val="auto"/>
          <w:szCs w:val="21"/>
        </w:rPr>
        <w:t>竞价评审小组</w:t>
      </w:r>
    </w:p>
    <w:p>
      <w:pPr>
        <w:numPr>
          <w:ilvl w:val="1"/>
          <w:numId w:val="6"/>
        </w:numPr>
        <w:autoSpaceDE w:val="0"/>
        <w:autoSpaceDN w:val="0"/>
        <w:adjustRightInd w:val="0"/>
        <w:snapToGrid w:val="0"/>
        <w:spacing w:line="360" w:lineRule="auto"/>
        <w:jc w:val="left"/>
        <w:rPr>
          <w:rFonts w:ascii="宋体" w:hAnsi="宋体"/>
          <w:color w:val="auto"/>
          <w:szCs w:val="21"/>
        </w:rPr>
      </w:pPr>
      <w:r>
        <w:rPr>
          <w:rFonts w:hint="eastAsia" w:ascii="宋体" w:hAnsi="宋体" w:cs="宋体"/>
          <w:color w:val="auto"/>
          <w:szCs w:val="21"/>
        </w:rPr>
        <w:t>竞价</w:t>
      </w:r>
      <w:r>
        <w:rPr>
          <w:rFonts w:hint="eastAsia" w:ascii="宋体" w:hAnsi="宋体" w:cs="宋体"/>
          <w:color w:val="auto"/>
          <w:szCs w:val="21"/>
          <w:lang w:eastAsia="zh-TW"/>
        </w:rPr>
        <w:t>由依照</w:t>
      </w:r>
      <w:r>
        <w:rPr>
          <w:rFonts w:hint="eastAsia" w:ascii="宋体" w:hAnsi="宋体" w:cs="宋体"/>
          <w:color w:val="auto"/>
          <w:szCs w:val="21"/>
        </w:rPr>
        <w:t>相关</w:t>
      </w:r>
      <w:r>
        <w:rPr>
          <w:rFonts w:hint="eastAsia" w:ascii="宋体" w:hAnsi="宋体" w:cs="宋体"/>
          <w:color w:val="auto"/>
          <w:szCs w:val="21"/>
          <w:lang w:eastAsia="zh-TW"/>
        </w:rPr>
        <w:t>法律、法规规定组建的</w:t>
      </w:r>
      <w:r>
        <w:rPr>
          <w:rFonts w:hint="eastAsia" w:ascii="宋体" w:hAnsi="宋体" w:cs="宋体"/>
          <w:color w:val="auto"/>
          <w:szCs w:val="21"/>
        </w:rPr>
        <w:t>竞价评审小组</w:t>
      </w:r>
      <w:r>
        <w:rPr>
          <w:rFonts w:hint="eastAsia" w:ascii="宋体" w:hAnsi="宋体" w:cs="宋体"/>
          <w:color w:val="auto"/>
          <w:szCs w:val="21"/>
          <w:lang w:eastAsia="zh-TW"/>
        </w:rPr>
        <w:t>负责。</w:t>
      </w:r>
      <w:r>
        <w:rPr>
          <w:rFonts w:hint="eastAsia" w:ascii="宋体" w:hAnsi="宋体"/>
          <w:color w:val="auto"/>
          <w:szCs w:val="21"/>
        </w:rPr>
        <w:t>竞价评审小组</w:t>
      </w:r>
      <w:r>
        <w:rPr>
          <w:rFonts w:hint="eastAsia" w:ascii="宋体" w:hAnsi="宋体" w:cs="宋体"/>
          <w:color w:val="auto"/>
          <w:szCs w:val="21"/>
          <w:lang w:eastAsia="zh-TW"/>
        </w:rPr>
        <w:t>按规定由招标人代表和</w:t>
      </w:r>
      <w:r>
        <w:rPr>
          <w:rFonts w:hint="eastAsia" w:ascii="宋体" w:hAnsi="宋体" w:cs="宋体"/>
          <w:color w:val="auto"/>
          <w:szCs w:val="21"/>
        </w:rPr>
        <w:t>从专家库随机抽取的有关</w:t>
      </w:r>
      <w:r>
        <w:rPr>
          <w:rFonts w:hint="eastAsia" w:ascii="宋体" w:hAnsi="宋体" w:cs="宋体"/>
          <w:color w:val="auto"/>
          <w:szCs w:val="21"/>
          <w:lang w:eastAsia="zh-TW"/>
        </w:rPr>
        <w:t>技术、经济等方面的专家组成，</w:t>
      </w:r>
      <w:r>
        <w:rPr>
          <w:rFonts w:hint="eastAsia" w:ascii="宋体" w:hAnsi="宋体"/>
          <w:bCs/>
          <w:color w:val="auto"/>
        </w:rPr>
        <w:t>竞价评审小组</w:t>
      </w:r>
      <w:r>
        <w:rPr>
          <w:rFonts w:hint="eastAsia" w:ascii="宋体" w:hAnsi="宋体"/>
          <w:color w:val="auto"/>
          <w:szCs w:val="21"/>
        </w:rPr>
        <w:t>由3名单数组成</w:t>
      </w:r>
      <w:r>
        <w:rPr>
          <w:rFonts w:hint="eastAsia" w:ascii="宋体" w:hAnsi="宋体" w:cs="宋体"/>
          <w:color w:val="auto"/>
          <w:szCs w:val="21"/>
          <w:lang w:eastAsia="zh-TW"/>
        </w:rPr>
        <w:t>。</w:t>
      </w:r>
    </w:p>
    <w:p>
      <w:pPr>
        <w:numPr>
          <w:ilvl w:val="0"/>
          <w:numId w:val="6"/>
        </w:numPr>
        <w:autoSpaceDE w:val="0"/>
        <w:autoSpaceDN w:val="0"/>
        <w:adjustRightInd w:val="0"/>
        <w:snapToGrid w:val="0"/>
        <w:spacing w:line="360" w:lineRule="auto"/>
        <w:rPr>
          <w:rFonts w:ascii="宋体" w:hAnsi="宋体" w:cs="黑体"/>
          <w:b/>
          <w:bCs/>
          <w:color w:val="auto"/>
          <w:szCs w:val="21"/>
          <w:lang w:eastAsia="zh-TW"/>
        </w:rPr>
      </w:pPr>
      <w:bookmarkStart w:id="10" w:name="_Toc419125963"/>
      <w:r>
        <w:rPr>
          <w:rFonts w:hint="eastAsia" w:ascii="宋体" w:hAnsi="宋体" w:cs="黑体"/>
          <w:b/>
          <w:bCs/>
          <w:color w:val="auto"/>
          <w:szCs w:val="21"/>
        </w:rPr>
        <w:t>竞价过程</w:t>
      </w:r>
      <w:bookmarkEnd w:id="10"/>
    </w:p>
    <w:p>
      <w:pPr>
        <w:numPr>
          <w:ilvl w:val="1"/>
          <w:numId w:val="6"/>
        </w:numPr>
        <w:autoSpaceDE w:val="0"/>
        <w:autoSpaceDN w:val="0"/>
        <w:adjustRightInd w:val="0"/>
        <w:snapToGrid w:val="0"/>
        <w:spacing w:line="360" w:lineRule="auto"/>
        <w:jc w:val="left"/>
        <w:rPr>
          <w:rFonts w:ascii="宋体" w:hAnsi="宋体" w:cs="宋体"/>
          <w:color w:val="auto"/>
          <w:szCs w:val="21"/>
        </w:rPr>
      </w:pPr>
      <w:r>
        <w:rPr>
          <w:rFonts w:hint="eastAsia" w:ascii="宋体" w:hAnsi="宋体" w:cs="宋体"/>
          <w:color w:val="auto"/>
          <w:szCs w:val="21"/>
        </w:rPr>
        <w:t>竞价评审小组</w:t>
      </w:r>
      <w:r>
        <w:rPr>
          <w:rFonts w:hint="eastAsia" w:ascii="宋体" w:hAnsi="宋体" w:cs="宋体"/>
          <w:color w:val="auto"/>
          <w:szCs w:val="21"/>
          <w:lang w:eastAsia="zh-TW"/>
        </w:rPr>
        <w:t>将根据</w:t>
      </w:r>
      <w:r>
        <w:rPr>
          <w:rFonts w:hint="eastAsia" w:ascii="宋体" w:hAnsi="宋体" w:cs="宋体"/>
          <w:color w:val="auto"/>
          <w:szCs w:val="21"/>
        </w:rPr>
        <w:t>竞价文件</w:t>
      </w:r>
      <w:r>
        <w:rPr>
          <w:rFonts w:hint="eastAsia" w:ascii="宋体" w:hAnsi="宋体" w:cs="宋体"/>
          <w:color w:val="auto"/>
          <w:szCs w:val="21"/>
          <w:lang w:eastAsia="zh-TW"/>
        </w:rPr>
        <w:t>的规定，对</w:t>
      </w:r>
      <w:r>
        <w:rPr>
          <w:rFonts w:hint="eastAsia" w:ascii="宋体" w:hAnsi="宋体" w:cs="宋体"/>
          <w:color w:val="auto"/>
          <w:szCs w:val="21"/>
        </w:rPr>
        <w:t>报价文件</w:t>
      </w:r>
      <w:r>
        <w:rPr>
          <w:rFonts w:hint="eastAsia" w:ascii="宋体" w:hAnsi="宋体" w:cs="宋体"/>
          <w:color w:val="auto"/>
          <w:szCs w:val="21"/>
          <w:lang w:eastAsia="zh-TW"/>
        </w:rPr>
        <w:t>进行资格性、符合性评审</w:t>
      </w:r>
      <w:r>
        <w:rPr>
          <w:rFonts w:hint="eastAsia" w:ascii="宋体" w:hAnsi="宋体" w:cs="宋体"/>
          <w:color w:val="auto"/>
          <w:szCs w:val="21"/>
        </w:rPr>
        <w:t>。</w:t>
      </w:r>
      <w:r>
        <w:rPr>
          <w:rFonts w:hint="eastAsia" w:ascii="宋体" w:hAnsi="宋体" w:cs="宋体"/>
          <w:color w:val="auto"/>
          <w:szCs w:val="21"/>
          <w:lang w:eastAsia="zh-TW"/>
        </w:rPr>
        <w:t>未能通过资格性、符合性审查被认定为无效</w:t>
      </w:r>
      <w:r>
        <w:rPr>
          <w:rFonts w:hint="eastAsia" w:ascii="宋体" w:hAnsi="宋体" w:cs="宋体"/>
          <w:color w:val="auto"/>
          <w:szCs w:val="21"/>
        </w:rPr>
        <w:t>响应。</w:t>
      </w:r>
    </w:p>
    <w:p>
      <w:pPr>
        <w:autoSpaceDE w:val="0"/>
        <w:autoSpaceDN w:val="0"/>
        <w:adjustRightInd w:val="0"/>
        <w:snapToGrid w:val="0"/>
        <w:spacing w:line="360" w:lineRule="auto"/>
        <w:jc w:val="center"/>
        <w:rPr>
          <w:rFonts w:ascii="黑体" w:hAnsi="宋体" w:eastAsia="黑体" w:cs="宋体"/>
          <w:color w:val="auto"/>
          <w:sz w:val="28"/>
          <w:szCs w:val="28"/>
        </w:rPr>
      </w:pPr>
      <w:r>
        <w:rPr>
          <w:rFonts w:hint="eastAsia" w:ascii="黑体" w:hAnsi="宋体" w:eastAsia="黑体" w:cs="宋体"/>
          <w:color w:val="auto"/>
          <w:sz w:val="28"/>
          <w:szCs w:val="28"/>
        </w:rPr>
        <w:t>资格、符合性评审表（包组一、二、三）</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8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91" w:type="dxa"/>
            <w:tcBorders>
              <w:top w:val="single" w:color="auto" w:sz="12" w:space="0"/>
              <w:left w:val="single" w:color="auto" w:sz="12" w:space="0"/>
            </w:tcBorders>
            <w:noWrap/>
            <w:vAlign w:val="center"/>
          </w:tcPr>
          <w:p>
            <w:pPr>
              <w:snapToGrid w:val="0"/>
              <w:jc w:val="center"/>
              <w:rPr>
                <w:b/>
                <w:color w:val="auto"/>
              </w:rPr>
            </w:pPr>
            <w:r>
              <w:rPr>
                <w:rFonts w:hint="eastAsia"/>
                <w:b/>
                <w:color w:val="auto"/>
              </w:rPr>
              <w:t>序号</w:t>
            </w:r>
          </w:p>
        </w:tc>
        <w:tc>
          <w:tcPr>
            <w:tcW w:w="8126" w:type="dxa"/>
            <w:tcBorders>
              <w:top w:val="single" w:color="auto" w:sz="12" w:space="0"/>
              <w:right w:val="single" w:color="auto" w:sz="12" w:space="0"/>
            </w:tcBorders>
            <w:noWrap/>
            <w:vAlign w:val="center"/>
          </w:tcPr>
          <w:p>
            <w:pPr>
              <w:snapToGrid w:val="0"/>
              <w:jc w:val="center"/>
              <w:rPr>
                <w:b/>
                <w:color w:val="auto"/>
              </w:rPr>
            </w:pPr>
            <w:r>
              <w:rPr>
                <w:rFonts w:hint="eastAsia"/>
                <w:b/>
                <w:color w:val="auto"/>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1" w:type="dxa"/>
            <w:tcBorders>
              <w:top w:val="single" w:color="auto" w:sz="12" w:space="0"/>
              <w:left w:val="single" w:color="auto" w:sz="12" w:space="0"/>
            </w:tcBorders>
            <w:noWrap/>
            <w:vAlign w:val="center"/>
          </w:tcPr>
          <w:p>
            <w:pPr>
              <w:numPr>
                <w:ilvl w:val="0"/>
                <w:numId w:val="7"/>
              </w:numPr>
              <w:tabs>
                <w:tab w:val="left" w:pos="223"/>
              </w:tabs>
              <w:snapToGrid w:val="0"/>
              <w:jc w:val="center"/>
              <w:rPr>
                <w:rFonts w:ascii="宋体" w:hAnsi="宋体"/>
                <w:b/>
                <w:color w:val="auto"/>
              </w:rPr>
            </w:pPr>
          </w:p>
        </w:tc>
        <w:tc>
          <w:tcPr>
            <w:tcW w:w="8126" w:type="dxa"/>
            <w:tcBorders>
              <w:top w:val="single" w:color="auto" w:sz="12" w:space="0"/>
              <w:right w:val="single" w:color="auto" w:sz="12" w:space="0"/>
            </w:tcBorders>
            <w:noWrap/>
            <w:vAlign w:val="center"/>
          </w:tcPr>
          <w:p>
            <w:pPr>
              <w:rPr>
                <w:rFonts w:ascii="宋体" w:hAnsi="宋体" w:cs="宋体"/>
                <w:color w:val="auto"/>
              </w:rPr>
            </w:pPr>
            <w:r>
              <w:rPr>
                <w:rFonts w:hint="eastAsia" w:ascii="宋体" w:hAnsi="宋体" w:cs="宋体"/>
                <w:color w:val="auto"/>
              </w:rPr>
              <w:t>具备竞价文件中规定资格要求的及资格证明文件齐全；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91" w:type="dxa"/>
            <w:tcBorders>
              <w:left w:val="single" w:color="auto" w:sz="12" w:space="0"/>
            </w:tcBorders>
            <w:noWrap/>
            <w:vAlign w:val="center"/>
          </w:tcPr>
          <w:p>
            <w:pPr>
              <w:numPr>
                <w:ilvl w:val="0"/>
                <w:numId w:val="7"/>
              </w:numPr>
              <w:tabs>
                <w:tab w:val="left" w:pos="223"/>
              </w:tabs>
              <w:snapToGrid w:val="0"/>
              <w:jc w:val="center"/>
              <w:rPr>
                <w:rFonts w:ascii="宋体" w:hAnsi="宋体"/>
                <w:b/>
                <w:color w:val="auto"/>
              </w:rPr>
            </w:pPr>
          </w:p>
        </w:tc>
        <w:tc>
          <w:tcPr>
            <w:tcW w:w="8126" w:type="dxa"/>
            <w:tcBorders>
              <w:right w:val="single" w:color="auto" w:sz="12" w:space="0"/>
            </w:tcBorders>
            <w:noWrap/>
            <w:vAlign w:val="center"/>
          </w:tcPr>
          <w:p>
            <w:pPr>
              <w:rPr>
                <w:rFonts w:ascii="宋体" w:hAnsi="宋体" w:cs="宋体"/>
                <w:color w:val="auto"/>
              </w:rPr>
            </w:pPr>
            <w:r>
              <w:rPr>
                <w:rFonts w:hint="eastAsia" w:ascii="宋体" w:hAnsi="宋体" w:cs="宋体"/>
                <w:color w:val="auto"/>
              </w:rPr>
              <w:t>报价函已提交并符合竞价文件要求的；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1" w:type="dxa"/>
            <w:tcBorders>
              <w:left w:val="single" w:color="auto" w:sz="12" w:space="0"/>
            </w:tcBorders>
            <w:noWrap/>
            <w:vAlign w:val="center"/>
          </w:tcPr>
          <w:p>
            <w:pPr>
              <w:numPr>
                <w:ilvl w:val="0"/>
                <w:numId w:val="7"/>
              </w:numPr>
              <w:tabs>
                <w:tab w:val="left" w:pos="223"/>
              </w:tabs>
              <w:snapToGrid w:val="0"/>
              <w:jc w:val="center"/>
              <w:rPr>
                <w:rFonts w:ascii="宋体" w:hAnsi="宋体"/>
                <w:b/>
                <w:color w:val="auto"/>
              </w:rPr>
            </w:pPr>
          </w:p>
        </w:tc>
        <w:tc>
          <w:tcPr>
            <w:tcW w:w="8126" w:type="dxa"/>
            <w:tcBorders>
              <w:right w:val="single" w:color="auto" w:sz="12" w:space="0"/>
            </w:tcBorders>
            <w:noWrap/>
            <w:vAlign w:val="center"/>
          </w:tcPr>
          <w:p>
            <w:pPr>
              <w:ind w:left="10" w:hanging="10" w:hangingChars="5"/>
              <w:rPr>
                <w:rFonts w:ascii="宋体" w:hAnsi="宋体" w:cs="宋体"/>
                <w:color w:val="auto"/>
              </w:rPr>
            </w:pPr>
            <w:r>
              <w:rPr>
                <w:rFonts w:hint="eastAsia" w:ascii="宋体" w:hAnsi="宋体" w:cs="宋体"/>
                <w:color w:val="auto"/>
              </w:rPr>
              <w:t>按照竞价文件规定要求签署、盖章且报价文件有法定代表人签字，或签字人有法定代表人有效授权书的；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91" w:type="dxa"/>
            <w:tcBorders>
              <w:left w:val="single" w:color="auto" w:sz="12" w:space="0"/>
            </w:tcBorders>
            <w:noWrap/>
            <w:vAlign w:val="center"/>
          </w:tcPr>
          <w:p>
            <w:pPr>
              <w:numPr>
                <w:ilvl w:val="0"/>
                <w:numId w:val="7"/>
              </w:numPr>
              <w:tabs>
                <w:tab w:val="left" w:pos="223"/>
              </w:tabs>
              <w:snapToGrid w:val="0"/>
              <w:jc w:val="center"/>
              <w:rPr>
                <w:rFonts w:ascii="宋体" w:hAnsi="宋体" w:cs="宋体"/>
                <w:b/>
                <w:color w:val="auto"/>
              </w:rPr>
            </w:pPr>
          </w:p>
        </w:tc>
        <w:tc>
          <w:tcPr>
            <w:tcW w:w="8126" w:type="dxa"/>
            <w:tcBorders>
              <w:right w:val="single" w:color="auto" w:sz="12" w:space="0"/>
            </w:tcBorders>
            <w:noWrap/>
            <w:vAlign w:val="center"/>
          </w:tcPr>
          <w:p>
            <w:pPr>
              <w:ind w:left="315" w:hanging="315" w:hangingChars="150"/>
              <w:rPr>
                <w:rFonts w:ascii="宋体" w:hAnsi="宋体" w:cs="宋体"/>
                <w:color w:val="auto"/>
              </w:rPr>
            </w:pPr>
            <w:r>
              <w:rPr>
                <w:rFonts w:hint="eastAsia" w:ascii="宋体" w:hAnsi="宋体" w:cs="宋体"/>
                <w:color w:val="auto"/>
              </w:rPr>
              <w:t>投标报价未超过本包组最高限价的；（适用于包组一、二）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91" w:type="dxa"/>
            <w:tcBorders>
              <w:left w:val="single" w:color="auto" w:sz="12" w:space="0"/>
            </w:tcBorders>
            <w:noWrap/>
            <w:vAlign w:val="center"/>
          </w:tcPr>
          <w:p>
            <w:pPr>
              <w:numPr>
                <w:ilvl w:val="0"/>
                <w:numId w:val="7"/>
              </w:numPr>
              <w:tabs>
                <w:tab w:val="left" w:pos="223"/>
              </w:tabs>
              <w:snapToGrid w:val="0"/>
              <w:jc w:val="center"/>
              <w:rPr>
                <w:rFonts w:ascii="宋体" w:hAnsi="宋体"/>
                <w:b/>
                <w:color w:val="auto"/>
              </w:rPr>
            </w:pPr>
          </w:p>
        </w:tc>
        <w:tc>
          <w:tcPr>
            <w:tcW w:w="8126" w:type="dxa"/>
            <w:tcBorders>
              <w:right w:val="single" w:color="auto" w:sz="12" w:space="0"/>
            </w:tcBorders>
            <w:noWrap/>
            <w:vAlign w:val="center"/>
          </w:tcPr>
          <w:p>
            <w:pPr>
              <w:rPr>
                <w:rFonts w:ascii="宋体" w:hAnsi="宋体" w:cs="宋体"/>
                <w:color w:val="auto"/>
              </w:rPr>
            </w:pPr>
            <w:r>
              <w:rPr>
                <w:rFonts w:hint="eastAsia" w:ascii="宋体" w:hAnsi="宋体" w:cs="宋体"/>
                <w:color w:val="auto"/>
              </w:rPr>
              <w:t>报价文件没有竞价文件中规定的其它无效响应条款的；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1" w:type="dxa"/>
            <w:tcBorders>
              <w:left w:val="single" w:color="auto" w:sz="12" w:space="0"/>
              <w:bottom w:val="single" w:color="auto" w:sz="12" w:space="0"/>
            </w:tcBorders>
            <w:noWrap/>
            <w:vAlign w:val="center"/>
          </w:tcPr>
          <w:p>
            <w:pPr>
              <w:numPr>
                <w:ilvl w:val="0"/>
                <w:numId w:val="7"/>
              </w:numPr>
              <w:tabs>
                <w:tab w:val="left" w:pos="223"/>
              </w:tabs>
              <w:snapToGrid w:val="0"/>
              <w:jc w:val="center"/>
              <w:rPr>
                <w:rFonts w:ascii="宋体" w:hAnsi="宋体"/>
                <w:b/>
                <w:color w:val="auto"/>
              </w:rPr>
            </w:pPr>
          </w:p>
        </w:tc>
        <w:tc>
          <w:tcPr>
            <w:tcW w:w="8126" w:type="dxa"/>
            <w:tcBorders>
              <w:bottom w:val="single" w:color="auto" w:sz="12" w:space="0"/>
              <w:right w:val="single" w:color="auto" w:sz="12" w:space="0"/>
            </w:tcBorders>
            <w:noWrap/>
            <w:vAlign w:val="center"/>
          </w:tcPr>
          <w:p>
            <w:pPr>
              <w:snapToGrid w:val="0"/>
              <w:rPr>
                <w:color w:val="auto"/>
              </w:rPr>
            </w:pPr>
            <w:r>
              <w:rPr>
                <w:rFonts w:hint="eastAsia" w:ascii="宋体" w:hAnsi="宋体" w:cs="宋体"/>
                <w:color w:val="auto"/>
              </w:rPr>
              <w:t>按有关法律、法规、规章不属于无效响应的。</w:t>
            </w:r>
          </w:p>
        </w:tc>
      </w:tr>
    </w:tbl>
    <w:p>
      <w:pPr>
        <w:pStyle w:val="41"/>
        <w:ind w:firstLine="400"/>
        <w:rPr>
          <w:color w:val="auto"/>
        </w:rPr>
      </w:pPr>
    </w:p>
    <w:bookmarkEnd w:id="7"/>
    <w:bookmarkEnd w:id="8"/>
    <w:bookmarkEnd w:id="9"/>
    <w:p>
      <w:pPr>
        <w:numPr>
          <w:ilvl w:val="0"/>
          <w:numId w:val="6"/>
        </w:numPr>
        <w:autoSpaceDE w:val="0"/>
        <w:autoSpaceDN w:val="0"/>
        <w:adjustRightInd w:val="0"/>
        <w:snapToGrid w:val="0"/>
        <w:spacing w:line="360" w:lineRule="auto"/>
        <w:rPr>
          <w:rFonts w:ascii="宋体" w:hAnsi="宋体" w:cs="黑体"/>
          <w:b/>
          <w:bCs/>
          <w:color w:val="auto"/>
          <w:szCs w:val="21"/>
          <w:lang w:eastAsia="zh-TW"/>
        </w:rPr>
      </w:pPr>
      <w:bookmarkStart w:id="11" w:name="_Toc381000419"/>
      <w:bookmarkStart w:id="12" w:name="_Toc419125964"/>
      <w:bookmarkStart w:id="13" w:name="_Toc457466627"/>
      <w:bookmarkStart w:id="14" w:name="_Toc371432369"/>
      <w:bookmarkStart w:id="15" w:name="_Toc423350507"/>
      <w:r>
        <w:rPr>
          <w:rFonts w:hint="eastAsia" w:ascii="宋体" w:hAnsi="宋体" w:cs="黑体"/>
          <w:b/>
          <w:bCs/>
          <w:color w:val="auto"/>
          <w:szCs w:val="21"/>
          <w:lang w:eastAsia="zh-TW"/>
        </w:rPr>
        <w:t>评定成交的</w:t>
      </w:r>
      <w:r>
        <w:rPr>
          <w:rFonts w:ascii="宋体" w:hAnsi="宋体" w:cs="黑体"/>
          <w:b/>
          <w:bCs/>
          <w:color w:val="auto"/>
          <w:szCs w:val="21"/>
          <w:lang w:eastAsia="zh-TW"/>
        </w:rPr>
        <w:t>评审方法</w:t>
      </w:r>
      <w:r>
        <w:rPr>
          <w:rFonts w:hint="eastAsia" w:ascii="宋体" w:hAnsi="宋体" w:cs="黑体"/>
          <w:b/>
          <w:bCs/>
          <w:color w:val="auto"/>
          <w:szCs w:val="21"/>
          <w:lang w:eastAsia="zh-TW"/>
        </w:rPr>
        <w:t>和标准</w:t>
      </w:r>
      <w:bookmarkEnd w:id="11"/>
      <w:bookmarkEnd w:id="12"/>
    </w:p>
    <w:p>
      <w:pPr>
        <w:numPr>
          <w:ilvl w:val="1"/>
          <w:numId w:val="6"/>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rPr>
        <w:t>本项目按照最低评标价法确定成交供应商，即在质量和服务均能满足竞价文件实质性响应要求的前提下，以提出最低报价（</w:t>
      </w:r>
      <w:r>
        <w:rPr>
          <w:rFonts w:hint="eastAsia" w:ascii="宋体" w:hAnsi="宋体" w:cs="宋体"/>
          <w:color w:val="auto"/>
          <w:szCs w:val="21"/>
          <w:lang w:eastAsia="zh-TW"/>
        </w:rPr>
        <w:t>指修正及价格扣除后的</w:t>
      </w:r>
      <w:r>
        <w:rPr>
          <w:rFonts w:hint="eastAsia" w:ascii="宋体" w:hAnsi="宋体" w:cs="宋体"/>
          <w:color w:val="auto"/>
          <w:szCs w:val="21"/>
        </w:rPr>
        <w:t>价格，即评标</w:t>
      </w:r>
      <w:r>
        <w:rPr>
          <w:rFonts w:hint="eastAsia" w:ascii="宋体" w:hAnsi="宋体" w:cs="宋体"/>
          <w:color w:val="auto"/>
          <w:szCs w:val="21"/>
          <w:lang w:eastAsia="zh-TW"/>
        </w:rPr>
        <w:t>价</w:t>
      </w:r>
      <w:r>
        <w:rPr>
          <w:rFonts w:hint="eastAsia" w:ascii="宋体" w:hAnsi="宋体" w:cs="宋体"/>
          <w:color w:val="auto"/>
          <w:szCs w:val="21"/>
        </w:rPr>
        <w:t>）的响应供应商作为成交供应商。</w:t>
      </w:r>
      <w:r>
        <w:rPr>
          <w:rFonts w:hint="eastAsia" w:ascii="宋体" w:hAnsi="宋体"/>
          <w:color w:val="auto"/>
          <w:szCs w:val="21"/>
        </w:rPr>
        <w:t>按照</w:t>
      </w:r>
      <w:r>
        <w:rPr>
          <w:rFonts w:hint="eastAsia" w:ascii="宋体" w:hAnsi="宋体" w:cs="宋体"/>
          <w:color w:val="auto"/>
          <w:szCs w:val="21"/>
        </w:rPr>
        <w:t>最后报价</w:t>
      </w:r>
      <w:r>
        <w:rPr>
          <w:rFonts w:hint="eastAsia" w:ascii="宋体" w:hAnsi="宋体"/>
          <w:color w:val="auto"/>
          <w:szCs w:val="21"/>
        </w:rPr>
        <w:t>由低到高的顺序推荐三名成交候选人。本项目各包组可兼投兼中。</w:t>
      </w:r>
    </w:p>
    <w:p>
      <w:pPr>
        <w:numPr>
          <w:ilvl w:val="1"/>
          <w:numId w:val="6"/>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lang w:eastAsia="zh-TW"/>
        </w:rPr>
        <w:t>评</w:t>
      </w:r>
      <w:r>
        <w:rPr>
          <w:rFonts w:hint="eastAsia" w:ascii="宋体" w:hAnsi="宋体" w:cs="宋体"/>
          <w:color w:val="auto"/>
          <w:szCs w:val="21"/>
        </w:rPr>
        <w:t>标</w:t>
      </w:r>
      <w:r>
        <w:rPr>
          <w:rFonts w:hint="eastAsia" w:ascii="宋体" w:hAnsi="宋体" w:cs="宋体"/>
          <w:color w:val="auto"/>
          <w:szCs w:val="21"/>
          <w:lang w:eastAsia="zh-TW"/>
        </w:rPr>
        <w:t>价相同的，</w:t>
      </w:r>
      <w:r>
        <w:rPr>
          <w:rFonts w:hint="eastAsia" w:ascii="宋体" w:hAnsi="宋体" w:cs="宋体"/>
          <w:color w:val="auto"/>
          <w:szCs w:val="21"/>
        </w:rPr>
        <w:t>排名</w:t>
      </w:r>
      <w:r>
        <w:rPr>
          <w:rFonts w:hint="eastAsia" w:ascii="宋体" w:hAnsi="宋体" w:cs="宋体"/>
          <w:color w:val="auto"/>
          <w:szCs w:val="21"/>
          <w:lang w:eastAsia="zh-TW"/>
        </w:rPr>
        <w:t>由</w:t>
      </w:r>
      <w:r>
        <w:rPr>
          <w:rFonts w:hint="eastAsia"/>
          <w:color w:val="auto"/>
          <w:szCs w:val="21"/>
        </w:rPr>
        <w:t>竞价评审小组</w:t>
      </w:r>
      <w:r>
        <w:rPr>
          <w:rFonts w:hint="eastAsia" w:ascii="宋体" w:hAnsi="宋体" w:cs="宋体"/>
          <w:color w:val="auto"/>
          <w:szCs w:val="21"/>
          <w:lang w:eastAsia="zh-TW"/>
        </w:rPr>
        <w:t>抽签确定。排名第一的报价供应商为第一成交候选人，排名第二的报价供应商为第二成交候选人，排名第三的报价供应商为第三成交候选人。</w:t>
      </w:r>
    </w:p>
    <w:p>
      <w:pPr>
        <w:numPr>
          <w:ilvl w:val="1"/>
          <w:numId w:val="6"/>
        </w:numPr>
        <w:autoSpaceDE w:val="0"/>
        <w:autoSpaceDN w:val="0"/>
        <w:adjustRightInd w:val="0"/>
        <w:snapToGrid w:val="0"/>
        <w:spacing w:line="360" w:lineRule="auto"/>
        <w:jc w:val="left"/>
        <w:rPr>
          <w:rFonts w:ascii="宋体" w:hAnsi="宋体"/>
          <w:color w:val="auto"/>
          <w:szCs w:val="21"/>
        </w:rPr>
      </w:pPr>
      <w:r>
        <w:rPr>
          <w:rFonts w:hint="eastAsia"/>
          <w:color w:val="auto"/>
          <w:szCs w:val="21"/>
        </w:rPr>
        <w:t>竞价评审小组</w:t>
      </w:r>
      <w:r>
        <w:rPr>
          <w:rFonts w:ascii="宋体" w:hAnsi="宋体" w:cs="宋体"/>
          <w:color w:val="auto"/>
          <w:szCs w:val="21"/>
          <w:lang w:eastAsia="zh-TW"/>
        </w:rPr>
        <w:t>提</w:t>
      </w:r>
      <w:r>
        <w:rPr>
          <w:rFonts w:hint="eastAsia" w:ascii="宋体" w:hAnsi="宋体" w:cs="宋体"/>
          <w:color w:val="auto"/>
          <w:szCs w:val="21"/>
          <w:lang w:eastAsia="zh-TW"/>
        </w:rPr>
        <w:t>交</w:t>
      </w:r>
      <w:r>
        <w:rPr>
          <w:rFonts w:ascii="宋体" w:hAnsi="宋体" w:cs="宋体"/>
          <w:color w:val="auto"/>
          <w:szCs w:val="21"/>
          <w:lang w:eastAsia="zh-TW"/>
        </w:rPr>
        <w:t>评审报告和推荐成交意见报</w:t>
      </w:r>
      <w:r>
        <w:rPr>
          <w:rFonts w:hint="eastAsia" w:ascii="宋体" w:hAnsi="宋体" w:cs="宋体"/>
          <w:color w:val="auto"/>
          <w:szCs w:val="21"/>
          <w:lang w:eastAsia="zh-TW"/>
        </w:rPr>
        <w:t>招标人确认</w:t>
      </w:r>
      <w:r>
        <w:rPr>
          <w:rFonts w:hint="eastAsia" w:ascii="宋体" w:hAnsi="宋体"/>
          <w:color w:val="auto"/>
          <w:szCs w:val="21"/>
        </w:rPr>
        <w:t>，招标人在收到评审报告后的规定时间内，按照评审报告中推荐的成交候选人顺序确定成交供应商，也可以事先授权</w:t>
      </w:r>
      <w:r>
        <w:rPr>
          <w:rFonts w:hint="eastAsia"/>
          <w:color w:val="auto"/>
          <w:szCs w:val="21"/>
        </w:rPr>
        <w:t>竞价评审小组</w:t>
      </w:r>
      <w:r>
        <w:rPr>
          <w:rFonts w:hint="eastAsia" w:ascii="宋体" w:hAnsi="宋体"/>
          <w:color w:val="auto"/>
          <w:szCs w:val="21"/>
        </w:rPr>
        <w:t>直接确定成交供应商。</w:t>
      </w:r>
    </w:p>
    <w:p>
      <w:pPr>
        <w:numPr>
          <w:ilvl w:val="0"/>
          <w:numId w:val="6"/>
        </w:numPr>
        <w:autoSpaceDE w:val="0"/>
        <w:autoSpaceDN w:val="0"/>
        <w:adjustRightInd w:val="0"/>
        <w:snapToGrid w:val="0"/>
        <w:spacing w:line="360" w:lineRule="auto"/>
        <w:rPr>
          <w:rFonts w:ascii="宋体" w:hAnsi="宋体" w:cs="黑体"/>
          <w:b/>
          <w:bCs/>
          <w:color w:val="auto"/>
          <w:szCs w:val="21"/>
          <w:lang w:eastAsia="zh-TW"/>
        </w:rPr>
      </w:pPr>
      <w:bookmarkStart w:id="16" w:name="_Toc419125965"/>
      <w:bookmarkStart w:id="17" w:name="_Toc381000420"/>
      <w:r>
        <w:rPr>
          <w:rFonts w:hint="eastAsia" w:ascii="宋体" w:hAnsi="宋体" w:cs="黑体"/>
          <w:b/>
          <w:bCs/>
          <w:color w:val="auto"/>
          <w:szCs w:val="21"/>
        </w:rPr>
        <w:t>确定</w:t>
      </w:r>
      <w:r>
        <w:rPr>
          <w:rFonts w:hint="eastAsia" w:ascii="宋体" w:hAnsi="宋体" w:cs="黑体"/>
          <w:b/>
          <w:bCs/>
          <w:color w:val="auto"/>
          <w:szCs w:val="21"/>
          <w:lang w:eastAsia="zh-TW"/>
        </w:rPr>
        <w:t>成交结果</w:t>
      </w:r>
      <w:bookmarkEnd w:id="16"/>
      <w:bookmarkEnd w:id="17"/>
    </w:p>
    <w:p>
      <w:pPr>
        <w:numPr>
          <w:ilvl w:val="1"/>
          <w:numId w:val="6"/>
        </w:numPr>
        <w:autoSpaceDE w:val="0"/>
        <w:autoSpaceDN w:val="0"/>
        <w:adjustRightInd w:val="0"/>
        <w:snapToGrid w:val="0"/>
        <w:spacing w:line="360" w:lineRule="auto"/>
        <w:jc w:val="left"/>
        <w:rPr>
          <w:rFonts w:ascii="宋体" w:hAnsi="宋体"/>
          <w:color w:val="auto"/>
          <w:szCs w:val="21"/>
        </w:rPr>
      </w:pPr>
      <w:r>
        <w:rPr>
          <w:rFonts w:hint="eastAsia" w:ascii="宋体" w:hAnsi="宋体"/>
          <w:color w:val="auto"/>
          <w:szCs w:val="21"/>
        </w:rPr>
        <w:t>成交供应商确定后，招标代理机构将在</w:t>
      </w:r>
      <w:r>
        <w:rPr>
          <w:rFonts w:hint="eastAsia" w:ascii="宋体" w:hAnsi="宋体" w:cs="宋体"/>
          <w:color w:val="auto"/>
          <w:szCs w:val="21"/>
        </w:rPr>
        <w:t>发布招标采购信息公告</w:t>
      </w:r>
      <w:r>
        <w:rPr>
          <w:rFonts w:hint="eastAsia" w:ascii="宋体" w:hAnsi="宋体"/>
          <w:color w:val="auto"/>
          <w:szCs w:val="21"/>
        </w:rPr>
        <w:t>的媒体上</w:t>
      </w:r>
      <w:r>
        <w:rPr>
          <w:rFonts w:ascii="宋体" w:hAnsi="宋体"/>
          <w:color w:val="auto"/>
          <w:szCs w:val="21"/>
        </w:rPr>
        <w:t>发</w:t>
      </w:r>
      <w:r>
        <w:rPr>
          <w:rFonts w:hint="eastAsia" w:ascii="宋体" w:hAnsi="宋体"/>
          <w:color w:val="auto"/>
          <w:szCs w:val="21"/>
        </w:rPr>
        <w:t>布成交结果公告。不在成交名单之列者即为未</w:t>
      </w:r>
      <w:r>
        <w:rPr>
          <w:rFonts w:hint="eastAsia" w:ascii="宋体" w:hAnsi="宋体" w:cs="宋体"/>
          <w:color w:val="auto"/>
          <w:szCs w:val="21"/>
        </w:rPr>
        <w:t>成交供应商</w:t>
      </w:r>
      <w:r>
        <w:rPr>
          <w:rFonts w:hint="eastAsia" w:ascii="宋体" w:hAnsi="宋体"/>
          <w:color w:val="auto"/>
          <w:szCs w:val="21"/>
        </w:rPr>
        <w:t>，招标代理机构不再以其他方式另行通知。</w:t>
      </w:r>
    </w:p>
    <w:p>
      <w:pPr>
        <w:numPr>
          <w:ilvl w:val="1"/>
          <w:numId w:val="6"/>
        </w:numPr>
        <w:autoSpaceDE w:val="0"/>
        <w:autoSpaceDN w:val="0"/>
        <w:adjustRightInd w:val="0"/>
        <w:snapToGrid w:val="0"/>
        <w:spacing w:line="360" w:lineRule="auto"/>
        <w:jc w:val="left"/>
        <w:rPr>
          <w:rFonts w:ascii="宋体" w:hAnsi="宋体"/>
          <w:color w:val="auto"/>
          <w:szCs w:val="21"/>
        </w:rPr>
      </w:pPr>
      <w:r>
        <w:rPr>
          <w:rFonts w:hint="eastAsia" w:ascii="宋体" w:hAnsi="宋体"/>
          <w:color w:val="auto"/>
          <w:szCs w:val="21"/>
        </w:rPr>
        <w:t>成交结果公告后，招标代理机构向</w:t>
      </w:r>
      <w:r>
        <w:rPr>
          <w:rFonts w:hint="eastAsia" w:ascii="宋体" w:hAnsi="宋体" w:cs="宋体"/>
          <w:color w:val="auto"/>
          <w:szCs w:val="21"/>
        </w:rPr>
        <w:t>成交供应商</w:t>
      </w:r>
      <w:r>
        <w:rPr>
          <w:rFonts w:hint="eastAsia" w:ascii="宋体" w:hAnsi="宋体"/>
          <w:color w:val="auto"/>
          <w:szCs w:val="21"/>
        </w:rPr>
        <w:t>发出《成交通知书》，向招标人及未成交供应商发出《成交结果通知书》，《成交通知书》对</w:t>
      </w:r>
      <w:r>
        <w:rPr>
          <w:rFonts w:hint="eastAsia" w:ascii="宋体" w:hAnsi="宋体" w:cs="宋体"/>
          <w:color w:val="auto"/>
          <w:szCs w:val="21"/>
        </w:rPr>
        <w:t>成交供应商</w:t>
      </w:r>
      <w:r>
        <w:rPr>
          <w:rFonts w:hint="eastAsia" w:ascii="宋体" w:hAnsi="宋体"/>
          <w:color w:val="auto"/>
          <w:szCs w:val="21"/>
        </w:rPr>
        <w:t>和招标人具有同等法律效力。</w:t>
      </w:r>
    </w:p>
    <w:bookmarkEnd w:id="13"/>
    <w:bookmarkEnd w:id="14"/>
    <w:bookmarkEnd w:id="15"/>
    <w:p>
      <w:pPr>
        <w:numPr>
          <w:ilvl w:val="0"/>
          <w:numId w:val="6"/>
        </w:numPr>
        <w:autoSpaceDE w:val="0"/>
        <w:autoSpaceDN w:val="0"/>
        <w:adjustRightInd w:val="0"/>
        <w:snapToGrid w:val="0"/>
        <w:spacing w:line="360" w:lineRule="auto"/>
        <w:ind w:right="315" w:rightChars="150"/>
        <w:rPr>
          <w:rFonts w:ascii="宋体" w:hAnsi="宋体"/>
          <w:b/>
          <w:bCs/>
          <w:color w:val="auto"/>
          <w:szCs w:val="21"/>
        </w:rPr>
      </w:pPr>
      <w:bookmarkStart w:id="18" w:name="_Toc371432376"/>
      <w:bookmarkStart w:id="19" w:name="_Toc423350514"/>
      <w:bookmarkStart w:id="20" w:name="_Toc457466634"/>
      <w:r>
        <w:rPr>
          <w:rFonts w:hint="eastAsia" w:ascii="宋体" w:hAnsi="宋体"/>
          <w:b/>
          <w:bCs/>
          <w:color w:val="auto"/>
          <w:szCs w:val="21"/>
        </w:rPr>
        <w:t>招标代理服务费</w:t>
      </w:r>
      <w:bookmarkEnd w:id="18"/>
      <w:bookmarkEnd w:id="19"/>
      <w:bookmarkEnd w:id="20"/>
    </w:p>
    <w:p>
      <w:pPr>
        <w:spacing w:line="360" w:lineRule="auto"/>
        <w:rPr>
          <w:rFonts w:ascii="宋体" w:hAnsi="宋体" w:cs="宋体"/>
          <w:b/>
          <w:bCs/>
          <w:color w:val="auto"/>
        </w:rPr>
      </w:pPr>
      <w:r>
        <w:rPr>
          <w:rFonts w:hint="eastAsia" w:ascii="宋体" w:hAnsi="宋体" w:cs="宋体"/>
          <w:b/>
          <w:bCs/>
          <w:color w:val="auto"/>
        </w:rPr>
        <w:t>5.1 成交人须向招标代理机构按如下标准和规定缴纳招标代理服务费：</w:t>
      </w:r>
    </w:p>
    <w:p>
      <w:pPr>
        <w:spacing w:line="360" w:lineRule="auto"/>
        <w:rPr>
          <w:rFonts w:ascii="宋体" w:hAnsi="宋体" w:cs="宋体"/>
          <w:b/>
          <w:bCs/>
          <w:color w:val="auto"/>
        </w:rPr>
      </w:pPr>
      <w:r>
        <w:rPr>
          <w:rFonts w:hint="eastAsia" w:ascii="宋体" w:hAnsi="宋体" w:cs="宋体"/>
          <w:b/>
          <w:bCs/>
          <w:color w:val="auto"/>
        </w:rPr>
        <w:t>（1）包组一成交人向招标代理机构缴纳招标代理服务费：人民币2000元。</w:t>
      </w:r>
    </w:p>
    <w:p>
      <w:pPr>
        <w:spacing w:line="360" w:lineRule="auto"/>
        <w:rPr>
          <w:rFonts w:ascii="宋体" w:hAnsi="宋体" w:cs="宋体"/>
          <w:b/>
          <w:bCs/>
          <w:color w:val="auto"/>
        </w:rPr>
      </w:pPr>
      <w:r>
        <w:rPr>
          <w:rFonts w:hint="eastAsia" w:ascii="宋体" w:hAnsi="宋体" w:cs="宋体"/>
          <w:b/>
          <w:bCs/>
          <w:color w:val="auto"/>
        </w:rPr>
        <w:t>（2）包组二成交人向招标代理机构缴纳招标代理服务费：人民币2000元。</w:t>
      </w:r>
    </w:p>
    <w:p>
      <w:pPr>
        <w:spacing w:line="360" w:lineRule="auto"/>
        <w:rPr>
          <w:rFonts w:ascii="宋体" w:hAnsi="宋体" w:cs="宋体"/>
          <w:b/>
          <w:bCs/>
          <w:color w:val="auto"/>
        </w:rPr>
      </w:pPr>
      <w:r>
        <w:rPr>
          <w:rFonts w:hint="eastAsia" w:ascii="宋体" w:hAnsi="宋体" w:cs="宋体"/>
          <w:b/>
          <w:bCs/>
          <w:color w:val="auto"/>
        </w:rPr>
        <w:t>（3）招标代理服务费的缴纳形式：</w:t>
      </w:r>
    </w:p>
    <w:p>
      <w:pPr>
        <w:spacing w:line="360" w:lineRule="auto"/>
        <w:ind w:firstLine="422" w:firstLineChars="200"/>
        <w:rPr>
          <w:rFonts w:ascii="宋体" w:hAnsi="宋体" w:cs="宋体"/>
          <w:b/>
          <w:bCs/>
          <w:color w:val="auto"/>
        </w:rPr>
      </w:pPr>
      <w:r>
        <w:rPr>
          <w:rFonts w:hint="eastAsia" w:ascii="宋体" w:hAnsi="宋体" w:cs="宋体"/>
          <w:b/>
          <w:bCs/>
          <w:color w:val="auto"/>
        </w:rPr>
        <w:t xml:space="preserve">a. 向招标代理机构直接缴纳招标代理服务费。可用支票、汇票、电汇等付款方式； </w:t>
      </w:r>
    </w:p>
    <w:p>
      <w:pPr>
        <w:spacing w:line="360" w:lineRule="auto"/>
        <w:ind w:firstLine="422" w:firstLineChars="200"/>
        <w:rPr>
          <w:rFonts w:ascii="宋体" w:hAnsi="宋体" w:cs="宋体"/>
          <w:b/>
          <w:bCs/>
          <w:color w:val="auto"/>
        </w:rPr>
      </w:pPr>
      <w:r>
        <w:rPr>
          <w:rFonts w:hint="eastAsia" w:ascii="宋体" w:hAnsi="宋体" w:cs="宋体"/>
          <w:b/>
          <w:bCs/>
          <w:color w:val="auto"/>
        </w:rPr>
        <w:t>b. 招标代理服务费付至：</w:t>
      </w:r>
    </w:p>
    <w:p>
      <w:pPr>
        <w:spacing w:line="360" w:lineRule="auto"/>
        <w:ind w:firstLine="843" w:firstLineChars="400"/>
        <w:rPr>
          <w:rFonts w:ascii="宋体" w:hAnsi="宋体" w:cs="宋体"/>
          <w:b/>
          <w:bCs/>
          <w:color w:val="auto"/>
        </w:rPr>
      </w:pPr>
      <w:r>
        <w:rPr>
          <w:rFonts w:hint="eastAsia" w:ascii="宋体" w:hAnsi="宋体" w:cs="宋体"/>
          <w:b/>
          <w:bCs/>
          <w:color w:val="auto"/>
        </w:rPr>
        <w:t>收款人名称：广东秤风采购招标有限公司</w:t>
      </w:r>
    </w:p>
    <w:p>
      <w:pPr>
        <w:spacing w:line="360" w:lineRule="auto"/>
        <w:ind w:firstLine="843" w:firstLineChars="400"/>
        <w:rPr>
          <w:rFonts w:ascii="宋体" w:hAnsi="宋体" w:cs="宋体"/>
          <w:b/>
          <w:bCs/>
          <w:color w:val="auto"/>
        </w:rPr>
      </w:pPr>
      <w:r>
        <w:rPr>
          <w:rFonts w:hint="eastAsia" w:ascii="宋体" w:hAnsi="宋体" w:cs="宋体"/>
          <w:b/>
          <w:bCs/>
          <w:color w:val="auto"/>
        </w:rPr>
        <w:t>账号：44001551505053006976</w:t>
      </w:r>
    </w:p>
    <w:p>
      <w:pPr>
        <w:spacing w:line="360" w:lineRule="auto"/>
        <w:ind w:firstLine="843" w:firstLineChars="400"/>
        <w:rPr>
          <w:rFonts w:ascii="宋体" w:hAnsi="宋体" w:cs="宋体"/>
          <w:b/>
          <w:bCs/>
          <w:color w:val="auto"/>
        </w:rPr>
      </w:pPr>
      <w:r>
        <w:rPr>
          <w:rFonts w:hint="eastAsia" w:ascii="宋体" w:hAnsi="宋体" w:cs="宋体"/>
          <w:b/>
          <w:bCs/>
          <w:color w:val="auto"/>
        </w:rPr>
        <w:t>银行：中国建设银行股份有限公司广州市绿色金融改革创新试验区花都分行</w:t>
      </w:r>
    </w:p>
    <w:p>
      <w:pPr>
        <w:spacing w:line="360" w:lineRule="auto"/>
        <w:rPr>
          <w:rFonts w:ascii="宋体" w:hAnsi="宋体" w:cs="宋体"/>
          <w:color w:val="auto"/>
        </w:rPr>
      </w:pPr>
      <w:r>
        <w:rPr>
          <w:rFonts w:hint="eastAsia" w:ascii="宋体" w:hAnsi="宋体" w:cs="宋体"/>
          <w:color w:val="auto"/>
        </w:rPr>
        <w:t>5.2 响应供应商应签署所附格式的招标代理服务费承诺书，作为报价文件的一部分。</w:t>
      </w:r>
    </w:p>
    <w:p>
      <w:pPr>
        <w:tabs>
          <w:tab w:val="left" w:pos="1620"/>
          <w:tab w:val="left" w:pos="1800"/>
        </w:tabs>
        <w:adjustRightInd w:val="0"/>
        <w:snapToGrid w:val="0"/>
        <w:spacing w:line="480" w:lineRule="auto"/>
        <w:ind w:left="3041" w:leftChars="1448" w:firstLine="246" w:firstLineChars="68"/>
        <w:textAlignment w:val="baseline"/>
        <w:rPr>
          <w:rFonts w:ascii="宋体" w:hAnsi="宋体"/>
          <w:b/>
          <w:color w:val="auto"/>
          <w:sz w:val="36"/>
          <w:szCs w:val="36"/>
        </w:rPr>
      </w:pPr>
      <w:r>
        <w:rPr>
          <w:rFonts w:ascii="宋体" w:hAnsi="宋体"/>
          <w:b/>
          <w:color w:val="auto"/>
          <w:sz w:val="36"/>
          <w:szCs w:val="36"/>
        </w:rPr>
        <w:br w:type="page"/>
      </w:r>
    </w:p>
    <w:p>
      <w:pPr>
        <w:pStyle w:val="41"/>
        <w:ind w:firstLine="723"/>
        <w:rPr>
          <w:rFonts w:ascii="宋体" w:hAnsi="宋体"/>
          <w:b/>
          <w:color w:val="auto"/>
          <w:sz w:val="36"/>
          <w:szCs w:val="36"/>
        </w:rPr>
      </w:pPr>
    </w:p>
    <w:p>
      <w:pPr>
        <w:pStyle w:val="41"/>
        <w:ind w:firstLine="723"/>
        <w:rPr>
          <w:rFonts w:ascii="宋体" w:hAnsi="宋体"/>
          <w:b/>
          <w:color w:val="auto"/>
          <w:sz w:val="36"/>
          <w:szCs w:val="36"/>
        </w:rPr>
      </w:pPr>
    </w:p>
    <w:p>
      <w:pPr>
        <w:pStyle w:val="41"/>
        <w:ind w:firstLine="723"/>
        <w:rPr>
          <w:rFonts w:ascii="宋体" w:hAnsi="宋体"/>
          <w:b/>
          <w:color w:val="auto"/>
          <w:sz w:val="36"/>
          <w:szCs w:val="36"/>
        </w:rPr>
      </w:pPr>
    </w:p>
    <w:p>
      <w:pPr>
        <w:pStyle w:val="41"/>
        <w:ind w:firstLine="723"/>
        <w:rPr>
          <w:rFonts w:ascii="宋体" w:hAnsi="宋体"/>
          <w:b/>
          <w:color w:val="auto"/>
          <w:sz w:val="36"/>
          <w:szCs w:val="36"/>
        </w:rPr>
      </w:pPr>
    </w:p>
    <w:p>
      <w:pPr>
        <w:pStyle w:val="41"/>
        <w:ind w:firstLine="723"/>
        <w:rPr>
          <w:rFonts w:ascii="宋体" w:hAnsi="宋体"/>
          <w:b/>
          <w:color w:val="auto"/>
          <w:sz w:val="36"/>
          <w:szCs w:val="36"/>
        </w:rPr>
      </w:pPr>
    </w:p>
    <w:p>
      <w:pPr>
        <w:tabs>
          <w:tab w:val="left" w:pos="1620"/>
          <w:tab w:val="left" w:pos="1800"/>
        </w:tabs>
        <w:adjustRightInd w:val="0"/>
        <w:snapToGrid w:val="0"/>
        <w:spacing w:line="480" w:lineRule="auto"/>
        <w:ind w:left="3041" w:leftChars="1448" w:firstLine="246" w:firstLineChars="68"/>
        <w:textAlignment w:val="baseline"/>
        <w:rPr>
          <w:rFonts w:ascii="宋体" w:hAnsi="宋体"/>
          <w:b/>
          <w:color w:val="auto"/>
          <w:sz w:val="36"/>
          <w:szCs w:val="36"/>
        </w:rPr>
      </w:pPr>
    </w:p>
    <w:p>
      <w:pPr>
        <w:tabs>
          <w:tab w:val="left" w:pos="1620"/>
          <w:tab w:val="left" w:pos="1800"/>
        </w:tabs>
        <w:adjustRightInd w:val="0"/>
        <w:snapToGrid w:val="0"/>
        <w:spacing w:line="480" w:lineRule="auto"/>
        <w:ind w:left="3041" w:leftChars="1448" w:firstLine="246" w:firstLineChars="68"/>
        <w:textAlignment w:val="baseline"/>
        <w:rPr>
          <w:rFonts w:ascii="宋体" w:hAnsi="宋体"/>
          <w:b/>
          <w:color w:val="auto"/>
          <w:sz w:val="36"/>
          <w:szCs w:val="36"/>
        </w:rPr>
      </w:pPr>
    </w:p>
    <w:p>
      <w:pPr>
        <w:numPr>
          <w:ilvl w:val="0"/>
          <w:numId w:val="2"/>
        </w:numPr>
        <w:tabs>
          <w:tab w:val="left" w:pos="1843"/>
        </w:tabs>
        <w:jc w:val="center"/>
        <w:outlineLvl w:val="0"/>
        <w:rPr>
          <w:b/>
          <w:color w:val="auto"/>
          <w:sz w:val="50"/>
          <w:szCs w:val="50"/>
        </w:rPr>
      </w:pPr>
      <w:bookmarkStart w:id="21" w:name="_Toc19037"/>
      <w:bookmarkStart w:id="22" w:name="_Toc423350516"/>
      <w:bookmarkStart w:id="23" w:name="_Toc457466638"/>
      <w:r>
        <w:rPr>
          <w:rFonts w:hint="eastAsia"/>
          <w:b/>
          <w:color w:val="auto"/>
          <w:sz w:val="50"/>
          <w:szCs w:val="50"/>
        </w:rPr>
        <w:t>用户需求书</w:t>
      </w:r>
      <w:bookmarkEnd w:id="21"/>
      <w:bookmarkEnd w:id="22"/>
      <w:bookmarkEnd w:id="23"/>
    </w:p>
    <w:p>
      <w:pPr>
        <w:widowControl/>
        <w:jc w:val="center"/>
        <w:rPr>
          <w:rFonts w:ascii="宋体" w:hAnsi="宋体"/>
          <w:b/>
          <w:bCs/>
          <w:color w:val="auto"/>
          <w:sz w:val="36"/>
          <w:szCs w:val="36"/>
        </w:rPr>
      </w:pPr>
      <w:r>
        <w:rPr>
          <w:b/>
          <w:color w:val="auto"/>
          <w:sz w:val="50"/>
          <w:szCs w:val="50"/>
        </w:rPr>
        <w:br w:type="page"/>
      </w:r>
      <w:r>
        <w:rPr>
          <w:rFonts w:ascii="宋体" w:hAnsi="宋体"/>
          <w:b/>
          <w:bCs/>
          <w:color w:val="auto"/>
          <w:sz w:val="36"/>
          <w:szCs w:val="36"/>
        </w:rPr>
        <w:t>用户需求书</w:t>
      </w:r>
    </w:p>
    <w:p>
      <w:pPr>
        <w:adjustRightInd w:val="0"/>
        <w:snapToGrid w:val="0"/>
        <w:spacing w:line="360" w:lineRule="auto"/>
        <w:ind w:left="517" w:right="315" w:rightChars="150" w:hanging="517" w:hangingChars="245"/>
        <w:rPr>
          <w:rFonts w:ascii="宋体"/>
          <w:b/>
          <w:bCs/>
          <w:color w:val="auto"/>
          <w:szCs w:val="20"/>
        </w:rPr>
      </w:pPr>
      <w:r>
        <w:rPr>
          <w:rFonts w:hint="eastAsia" w:ascii="宋体"/>
          <w:b/>
          <w:bCs/>
          <w:color w:val="auto"/>
          <w:szCs w:val="20"/>
        </w:rPr>
        <w:t>说明：</w:t>
      </w:r>
    </w:p>
    <w:p>
      <w:pPr>
        <w:numPr>
          <w:ilvl w:val="0"/>
          <w:numId w:val="8"/>
        </w:numPr>
        <w:adjustRightInd w:val="0"/>
        <w:snapToGrid w:val="0"/>
        <w:spacing w:line="360" w:lineRule="auto"/>
        <w:rPr>
          <w:rFonts w:ascii="宋体"/>
          <w:b/>
          <w:bCs/>
          <w:color w:val="auto"/>
          <w:szCs w:val="20"/>
        </w:rPr>
      </w:pPr>
      <w:r>
        <w:rPr>
          <w:rFonts w:hint="eastAsia" w:ascii="宋体"/>
          <w:b/>
          <w:bCs/>
          <w:color w:val="auto"/>
          <w:szCs w:val="20"/>
        </w:rPr>
        <w:t xml:space="preserve">响应供应商须对本项目以包组为单位的货物及服务进行整体响应，任何只对包组内其中一部分内容进行的响应都被视为无效响应。 </w:t>
      </w:r>
    </w:p>
    <w:p>
      <w:pPr>
        <w:spacing w:line="360" w:lineRule="auto"/>
        <w:jc w:val="center"/>
        <w:rPr>
          <w:rFonts w:ascii="宋体" w:hAnsi="宋体" w:cs="宋体"/>
          <w:b/>
          <w:bCs/>
          <w:color w:val="auto"/>
          <w:sz w:val="28"/>
          <w:szCs w:val="28"/>
        </w:rPr>
      </w:pPr>
      <w:r>
        <w:rPr>
          <w:rFonts w:hint="eastAsia" w:ascii="宋体" w:hAnsi="宋体" w:cs="宋体"/>
          <w:b/>
          <w:bCs/>
          <w:color w:val="auto"/>
          <w:sz w:val="28"/>
          <w:szCs w:val="28"/>
        </w:rPr>
        <w:t>包组一：安全技术服务采购</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3"/>
        <w:gridCol w:w="2845"/>
        <w:gridCol w:w="737"/>
        <w:gridCol w:w="2536"/>
        <w:gridCol w:w="17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1" w:hRule="atLeast"/>
          <w:jc w:val="center"/>
        </w:trPr>
        <w:tc>
          <w:tcPr>
            <w:tcW w:w="933" w:type="dxa"/>
            <w:shd w:val="clear" w:color="auto" w:fill="EEECE1"/>
            <w:noWrap/>
            <w:vAlign w:val="center"/>
          </w:tcPr>
          <w:p>
            <w:pPr>
              <w:jc w:val="center"/>
              <w:rPr>
                <w:rFonts w:ascii="宋体"/>
                <w:b/>
                <w:color w:val="auto"/>
                <w:szCs w:val="21"/>
              </w:rPr>
            </w:pPr>
            <w:r>
              <w:rPr>
                <w:rFonts w:hint="eastAsia" w:ascii="宋体"/>
                <w:b/>
                <w:color w:val="auto"/>
                <w:szCs w:val="21"/>
              </w:rPr>
              <w:t>包组号</w:t>
            </w:r>
          </w:p>
        </w:tc>
        <w:tc>
          <w:tcPr>
            <w:tcW w:w="2845" w:type="dxa"/>
            <w:shd w:val="clear" w:color="auto" w:fill="EEECE1"/>
            <w:noWrap/>
            <w:vAlign w:val="center"/>
          </w:tcPr>
          <w:p>
            <w:pPr>
              <w:jc w:val="center"/>
              <w:rPr>
                <w:rFonts w:ascii="宋体"/>
                <w:b/>
                <w:color w:val="auto"/>
                <w:szCs w:val="21"/>
              </w:rPr>
            </w:pPr>
            <w:r>
              <w:rPr>
                <w:rFonts w:hint="eastAsia" w:ascii="宋体"/>
                <w:b/>
                <w:color w:val="auto"/>
                <w:szCs w:val="21"/>
              </w:rPr>
              <w:t>采购内容</w:t>
            </w:r>
          </w:p>
        </w:tc>
        <w:tc>
          <w:tcPr>
            <w:tcW w:w="737" w:type="dxa"/>
            <w:shd w:val="clear" w:color="auto" w:fill="EEECE1"/>
            <w:noWrap/>
            <w:vAlign w:val="center"/>
          </w:tcPr>
          <w:p>
            <w:pPr>
              <w:jc w:val="center"/>
              <w:rPr>
                <w:rFonts w:ascii="宋体"/>
                <w:b/>
                <w:color w:val="auto"/>
                <w:szCs w:val="21"/>
              </w:rPr>
            </w:pPr>
            <w:r>
              <w:rPr>
                <w:rFonts w:hint="eastAsia" w:ascii="宋体"/>
                <w:b/>
                <w:color w:val="auto"/>
                <w:szCs w:val="21"/>
              </w:rPr>
              <w:t>数量</w:t>
            </w:r>
          </w:p>
        </w:tc>
        <w:tc>
          <w:tcPr>
            <w:tcW w:w="2536" w:type="dxa"/>
            <w:shd w:val="clear" w:color="auto" w:fill="EEECE1"/>
            <w:noWrap/>
            <w:vAlign w:val="center"/>
          </w:tcPr>
          <w:p>
            <w:pPr>
              <w:jc w:val="center"/>
              <w:rPr>
                <w:rFonts w:ascii="宋体"/>
                <w:b/>
                <w:color w:val="auto"/>
                <w:szCs w:val="21"/>
              </w:rPr>
            </w:pPr>
            <w:r>
              <w:rPr>
                <w:rFonts w:hint="eastAsia" w:ascii="宋体"/>
                <w:b/>
                <w:color w:val="auto"/>
                <w:szCs w:val="21"/>
              </w:rPr>
              <w:t>服务期限</w:t>
            </w:r>
          </w:p>
        </w:tc>
        <w:tc>
          <w:tcPr>
            <w:tcW w:w="1740" w:type="dxa"/>
            <w:shd w:val="clear" w:color="auto" w:fill="EEECE1"/>
            <w:noWrap/>
            <w:vAlign w:val="center"/>
          </w:tcPr>
          <w:p>
            <w:pPr>
              <w:jc w:val="center"/>
              <w:rPr>
                <w:rFonts w:ascii="宋体"/>
                <w:b/>
                <w:color w:val="auto"/>
                <w:szCs w:val="21"/>
              </w:rPr>
            </w:pPr>
            <w:r>
              <w:rPr>
                <w:rFonts w:hint="eastAsia" w:ascii="宋体"/>
                <w:b/>
                <w:color w:val="auto"/>
                <w:szCs w:val="21"/>
              </w:rPr>
              <w:t>最高限价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3" w:hRule="atLeast"/>
          <w:jc w:val="center"/>
        </w:trPr>
        <w:tc>
          <w:tcPr>
            <w:tcW w:w="933" w:type="dxa"/>
            <w:noWrap/>
            <w:vAlign w:val="center"/>
          </w:tcPr>
          <w:p>
            <w:pPr>
              <w:jc w:val="center"/>
              <w:rPr>
                <w:rFonts w:ascii="宋体"/>
                <w:bCs/>
                <w:color w:val="auto"/>
                <w:szCs w:val="21"/>
              </w:rPr>
            </w:pPr>
            <w:r>
              <w:rPr>
                <w:rFonts w:hint="eastAsia" w:ascii="宋体"/>
                <w:bCs/>
                <w:color w:val="auto"/>
                <w:szCs w:val="21"/>
              </w:rPr>
              <w:t>包组一</w:t>
            </w:r>
          </w:p>
        </w:tc>
        <w:tc>
          <w:tcPr>
            <w:tcW w:w="2845" w:type="dxa"/>
            <w:noWrap/>
            <w:vAlign w:val="center"/>
          </w:tcPr>
          <w:p>
            <w:pPr>
              <w:jc w:val="center"/>
              <w:rPr>
                <w:rFonts w:ascii="宋体"/>
                <w:bCs/>
                <w:color w:val="auto"/>
                <w:szCs w:val="21"/>
              </w:rPr>
            </w:pPr>
            <w:r>
              <w:rPr>
                <w:rFonts w:hint="eastAsia" w:ascii="宋体"/>
                <w:bCs/>
                <w:color w:val="auto"/>
                <w:szCs w:val="21"/>
              </w:rPr>
              <w:t>2023年花都区农产品质量安全基层检测技术人员培训</w:t>
            </w:r>
          </w:p>
        </w:tc>
        <w:tc>
          <w:tcPr>
            <w:tcW w:w="737" w:type="dxa"/>
            <w:noWrap/>
            <w:vAlign w:val="center"/>
          </w:tcPr>
          <w:p>
            <w:pPr>
              <w:jc w:val="center"/>
              <w:rPr>
                <w:rFonts w:ascii="宋体" w:hAnsi="宋体"/>
                <w:color w:val="auto"/>
              </w:rPr>
            </w:pPr>
            <w:r>
              <w:rPr>
                <w:rFonts w:hint="eastAsia" w:ascii="宋体" w:hAnsi="宋体"/>
                <w:color w:val="auto"/>
              </w:rPr>
              <w:t>1项</w:t>
            </w:r>
          </w:p>
        </w:tc>
        <w:tc>
          <w:tcPr>
            <w:tcW w:w="2536" w:type="dxa"/>
            <w:noWrap/>
            <w:vAlign w:val="center"/>
          </w:tcPr>
          <w:p>
            <w:pPr>
              <w:pStyle w:val="46"/>
              <w:spacing w:line="240" w:lineRule="auto"/>
              <w:rPr>
                <w:rFonts w:ascii="宋体" w:hAnsi="宋体"/>
                <w:snapToGrid/>
                <w:color w:val="auto"/>
                <w:spacing w:val="0"/>
                <w:kern w:val="2"/>
                <w:sz w:val="21"/>
                <w:szCs w:val="21"/>
              </w:rPr>
            </w:pPr>
            <w:r>
              <w:rPr>
                <w:rFonts w:hint="eastAsia" w:ascii="宋体" w:hAnsi="宋体"/>
                <w:snapToGrid/>
                <w:color w:val="auto"/>
                <w:spacing w:val="0"/>
                <w:kern w:val="2"/>
                <w:sz w:val="21"/>
                <w:szCs w:val="21"/>
              </w:rPr>
              <w:t>自合同签约至2023年4月31日前完成</w:t>
            </w:r>
          </w:p>
        </w:tc>
        <w:tc>
          <w:tcPr>
            <w:tcW w:w="1740" w:type="dxa"/>
            <w:noWrap/>
            <w:vAlign w:val="center"/>
          </w:tcPr>
          <w:p>
            <w:pPr>
              <w:jc w:val="center"/>
              <w:rPr>
                <w:rFonts w:ascii="宋体" w:hAnsi="宋体"/>
                <w:color w:val="auto"/>
              </w:rPr>
            </w:pPr>
            <w:r>
              <w:rPr>
                <w:rFonts w:hint="eastAsia" w:ascii="宋体" w:hAnsi="宋体"/>
                <w:color w:val="auto"/>
              </w:rPr>
              <w:t>人民币3.2万元</w:t>
            </w:r>
          </w:p>
        </w:tc>
      </w:tr>
    </w:tbl>
    <w:p>
      <w:pPr>
        <w:pStyle w:val="30"/>
        <w:rPr>
          <w:rFonts w:ascii="宋体" w:hAnsi="宋体"/>
          <w:b/>
          <w:color w:val="auto"/>
        </w:rPr>
      </w:pPr>
    </w:p>
    <w:p>
      <w:pPr>
        <w:pStyle w:val="11"/>
        <w:numPr>
          <w:ilvl w:val="0"/>
          <w:numId w:val="9"/>
        </w:numPr>
        <w:tabs>
          <w:tab w:val="left" w:pos="540"/>
        </w:tabs>
        <w:autoSpaceDE/>
        <w:autoSpaceDN/>
        <w:snapToGrid w:val="0"/>
        <w:spacing w:line="360" w:lineRule="auto"/>
        <w:jc w:val="both"/>
        <w:rPr>
          <w:rFonts w:hAnsi="宋体"/>
          <w:b/>
          <w:color w:val="auto"/>
          <w:sz w:val="21"/>
          <w:szCs w:val="21"/>
        </w:rPr>
      </w:pPr>
      <w:r>
        <w:rPr>
          <w:rFonts w:hint="eastAsia" w:hAnsi="宋体"/>
          <w:b/>
          <w:color w:val="auto"/>
          <w:sz w:val="21"/>
          <w:szCs w:val="21"/>
        </w:rPr>
        <w:t>服务内容</w:t>
      </w:r>
    </w:p>
    <w:p>
      <w:pPr>
        <w:spacing w:line="360" w:lineRule="auto"/>
        <w:ind w:firstLine="420" w:firstLineChars="200"/>
        <w:rPr>
          <w:rFonts w:ascii="宋体" w:hAnsi="宋体" w:cs="宋体"/>
          <w:color w:val="auto"/>
        </w:rPr>
      </w:pPr>
      <w:r>
        <w:rPr>
          <w:rFonts w:hint="eastAsia" w:ascii="宋体" w:hAnsi="宋体" w:cs="宋体"/>
          <w:color w:val="auto"/>
        </w:rPr>
        <w:t>成交人提供3场培训服务，每场时长为一天，包含以下服务内容：</w:t>
      </w:r>
    </w:p>
    <w:tbl>
      <w:tblPr>
        <w:tblStyle w:val="23"/>
        <w:tblW w:w="8846" w:type="dxa"/>
        <w:tblInd w:w="91" w:type="dxa"/>
        <w:tblLayout w:type="fixed"/>
        <w:tblCellMar>
          <w:top w:w="0" w:type="dxa"/>
          <w:left w:w="108" w:type="dxa"/>
          <w:bottom w:w="0" w:type="dxa"/>
          <w:right w:w="108" w:type="dxa"/>
        </w:tblCellMar>
      </w:tblPr>
      <w:tblGrid>
        <w:gridCol w:w="442"/>
        <w:gridCol w:w="1144"/>
        <w:gridCol w:w="1125"/>
        <w:gridCol w:w="3060"/>
        <w:gridCol w:w="799"/>
        <w:gridCol w:w="715"/>
        <w:gridCol w:w="1561"/>
      </w:tblGrid>
      <w:tr>
        <w:tblPrEx>
          <w:tblCellMar>
            <w:top w:w="0" w:type="dxa"/>
            <w:left w:w="108" w:type="dxa"/>
            <w:bottom w:w="0" w:type="dxa"/>
            <w:right w:w="108" w:type="dxa"/>
          </w:tblCellMar>
        </w:tblPrEx>
        <w:trPr>
          <w:trHeight w:val="398" w:hRule="atLeast"/>
        </w:trPr>
        <w:tc>
          <w:tcPr>
            <w:tcW w:w="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kern w:val="0"/>
                <w:szCs w:val="21"/>
              </w:rPr>
            </w:pPr>
            <w:r>
              <w:rPr>
                <w:rFonts w:hint="eastAsia" w:ascii="宋体" w:hAnsi="宋体" w:cs="宋体"/>
                <w:b/>
                <w:bCs/>
                <w:color w:val="auto"/>
                <w:kern w:val="0"/>
                <w:szCs w:val="21"/>
              </w:rPr>
              <w:t>序号</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rPr>
            </w:pPr>
            <w:r>
              <w:rPr>
                <w:rFonts w:hint="eastAsia" w:ascii="宋体" w:hAnsi="宋体" w:cs="宋体"/>
                <w:b/>
                <w:bCs/>
                <w:color w:val="auto"/>
                <w:szCs w:val="21"/>
              </w:rPr>
              <w:t>培训形式</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rPr>
            </w:pPr>
            <w:r>
              <w:rPr>
                <w:rFonts w:hint="eastAsia" w:ascii="宋体" w:hAnsi="宋体" w:cs="宋体"/>
                <w:b/>
                <w:bCs/>
                <w:color w:val="auto"/>
                <w:szCs w:val="21"/>
              </w:rPr>
              <w:t>培训人员</w:t>
            </w: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rPr>
            </w:pPr>
            <w:r>
              <w:rPr>
                <w:rFonts w:hint="eastAsia" w:ascii="宋体" w:hAnsi="宋体" w:cs="宋体"/>
                <w:b/>
                <w:bCs/>
                <w:color w:val="auto"/>
                <w:szCs w:val="21"/>
              </w:rPr>
              <w:t>培训内容</w:t>
            </w:r>
          </w:p>
        </w:tc>
        <w:tc>
          <w:tcPr>
            <w:tcW w:w="7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rPr>
            </w:pPr>
            <w:r>
              <w:rPr>
                <w:rFonts w:hint="eastAsia" w:ascii="宋体" w:hAnsi="宋体" w:cs="宋体"/>
                <w:b/>
                <w:bCs/>
                <w:color w:val="auto"/>
                <w:szCs w:val="21"/>
              </w:rPr>
              <w:t>培训人数</w:t>
            </w:r>
          </w:p>
        </w:tc>
        <w:tc>
          <w:tcPr>
            <w:tcW w:w="7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rPr>
            </w:pPr>
            <w:r>
              <w:rPr>
                <w:rFonts w:hint="eastAsia" w:ascii="宋体" w:hAnsi="宋体" w:cs="宋体"/>
                <w:b/>
                <w:bCs/>
                <w:color w:val="auto"/>
                <w:szCs w:val="21"/>
              </w:rPr>
              <w:t>培训场数</w:t>
            </w:r>
          </w:p>
        </w:tc>
        <w:tc>
          <w:tcPr>
            <w:tcW w:w="15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rPr>
            </w:pPr>
            <w:r>
              <w:rPr>
                <w:rFonts w:hint="eastAsia" w:ascii="宋体" w:hAnsi="宋体" w:cs="宋体"/>
                <w:b/>
                <w:bCs/>
                <w:color w:val="auto"/>
                <w:szCs w:val="21"/>
              </w:rPr>
              <w:t>培训时长</w:t>
            </w:r>
          </w:p>
        </w:tc>
      </w:tr>
      <w:tr>
        <w:tblPrEx>
          <w:tblCellMar>
            <w:top w:w="0" w:type="dxa"/>
            <w:left w:w="108" w:type="dxa"/>
            <w:bottom w:w="0" w:type="dxa"/>
            <w:right w:w="108" w:type="dxa"/>
          </w:tblCellMar>
        </w:tblPrEx>
        <w:trPr>
          <w:trHeight w:val="398" w:hRule="atLeast"/>
        </w:trPr>
        <w:tc>
          <w:tcPr>
            <w:tcW w:w="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1</w:t>
            </w:r>
          </w:p>
        </w:tc>
        <w:tc>
          <w:tcPr>
            <w:tcW w:w="1144"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线下培训</w:t>
            </w:r>
          </w:p>
          <w:p>
            <w:pPr>
              <w:pStyle w:val="2"/>
              <w:rPr>
                <w:rFonts w:ascii="宋体" w:hAnsi="宋体" w:cs="宋体"/>
                <w:color w:val="auto"/>
                <w:sz w:val="21"/>
                <w:szCs w:val="21"/>
              </w:rPr>
            </w:pPr>
          </w:p>
        </w:tc>
        <w:tc>
          <w:tcPr>
            <w:tcW w:w="1125"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区、镇两级农产检测技术人员</w:t>
            </w: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农产品质量安全相关法律法规培训</w:t>
            </w:r>
          </w:p>
        </w:tc>
        <w:tc>
          <w:tcPr>
            <w:tcW w:w="799"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100人</w:t>
            </w:r>
          </w:p>
        </w:tc>
        <w:tc>
          <w:tcPr>
            <w:tcW w:w="715"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3场</w:t>
            </w:r>
          </w:p>
        </w:tc>
        <w:tc>
          <w:tcPr>
            <w:tcW w:w="1561"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共3天，其中每场的时间为1天</w:t>
            </w:r>
          </w:p>
        </w:tc>
      </w:tr>
      <w:tr>
        <w:tblPrEx>
          <w:tblCellMar>
            <w:top w:w="0" w:type="dxa"/>
            <w:left w:w="108" w:type="dxa"/>
            <w:bottom w:w="0" w:type="dxa"/>
            <w:right w:w="108" w:type="dxa"/>
          </w:tblCellMar>
        </w:tblPrEx>
        <w:trPr>
          <w:trHeight w:val="398" w:hRule="atLeast"/>
        </w:trPr>
        <w:tc>
          <w:tcPr>
            <w:tcW w:w="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p>
        </w:tc>
        <w:tc>
          <w:tcPr>
            <w:tcW w:w="1144" w:type="dxa"/>
            <w:vMerge w:val="continue"/>
            <w:tcBorders>
              <w:left w:val="single" w:color="000000" w:sz="4" w:space="0"/>
              <w:right w:val="single" w:color="000000" w:sz="4" w:space="0"/>
            </w:tcBorders>
            <w:noWrap/>
            <w:vAlign w:val="center"/>
          </w:tcPr>
          <w:p>
            <w:pPr>
              <w:pStyle w:val="2"/>
              <w:rPr>
                <w:rFonts w:ascii="宋体" w:hAnsi="宋体" w:cs="宋体"/>
                <w:color w:val="auto"/>
                <w:sz w:val="21"/>
                <w:szCs w:val="21"/>
              </w:rPr>
            </w:pPr>
          </w:p>
        </w:tc>
        <w:tc>
          <w:tcPr>
            <w:tcW w:w="1125" w:type="dxa"/>
            <w:vMerge w:val="continue"/>
            <w:tcBorders>
              <w:left w:val="single" w:color="000000" w:sz="4" w:space="0"/>
              <w:right w:val="single" w:color="000000" w:sz="4" w:space="0"/>
            </w:tcBorders>
            <w:noWrap/>
            <w:vAlign w:val="center"/>
          </w:tcPr>
          <w:p>
            <w:pPr>
              <w:widowControl/>
              <w:jc w:val="center"/>
              <w:textAlignment w:val="center"/>
              <w:rPr>
                <w:rFonts w:ascii="宋体" w:hAnsi="宋体" w:cs="宋体"/>
                <w:color w:val="auto"/>
                <w:szCs w:val="21"/>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农产品监测抽样技术培训</w:t>
            </w:r>
          </w:p>
        </w:tc>
        <w:tc>
          <w:tcPr>
            <w:tcW w:w="799" w:type="dxa"/>
            <w:vMerge w:val="continue"/>
            <w:tcBorders>
              <w:left w:val="single" w:color="000000" w:sz="4" w:space="0"/>
              <w:right w:val="single" w:color="000000" w:sz="4" w:space="0"/>
            </w:tcBorders>
            <w:noWrap/>
            <w:vAlign w:val="center"/>
          </w:tcPr>
          <w:p>
            <w:pPr>
              <w:widowControl/>
              <w:jc w:val="center"/>
              <w:textAlignment w:val="center"/>
              <w:rPr>
                <w:rFonts w:ascii="宋体" w:hAnsi="宋体" w:cs="宋体"/>
                <w:color w:val="auto"/>
                <w:szCs w:val="21"/>
              </w:rPr>
            </w:pPr>
          </w:p>
        </w:tc>
        <w:tc>
          <w:tcPr>
            <w:tcW w:w="715" w:type="dxa"/>
            <w:vMerge w:val="continue"/>
            <w:tcBorders>
              <w:left w:val="single" w:color="000000" w:sz="4" w:space="0"/>
              <w:right w:val="single" w:color="000000" w:sz="4" w:space="0"/>
            </w:tcBorders>
            <w:noWrap/>
            <w:vAlign w:val="center"/>
          </w:tcPr>
          <w:p>
            <w:pPr>
              <w:widowControl/>
              <w:jc w:val="center"/>
              <w:textAlignment w:val="center"/>
              <w:rPr>
                <w:rFonts w:ascii="宋体" w:hAnsi="宋体" w:cs="宋体"/>
                <w:color w:val="auto"/>
                <w:szCs w:val="21"/>
              </w:rPr>
            </w:pPr>
          </w:p>
        </w:tc>
        <w:tc>
          <w:tcPr>
            <w:tcW w:w="1561" w:type="dxa"/>
            <w:vMerge w:val="continue"/>
            <w:tcBorders>
              <w:left w:val="single" w:color="000000" w:sz="4" w:space="0"/>
              <w:right w:val="single" w:color="000000" w:sz="4" w:space="0"/>
            </w:tcBorders>
            <w:noWrap/>
            <w:vAlign w:val="center"/>
          </w:tcPr>
          <w:p>
            <w:pPr>
              <w:widowControl/>
              <w:jc w:val="center"/>
              <w:textAlignment w:val="center"/>
              <w:rPr>
                <w:rFonts w:ascii="宋体" w:hAnsi="宋体" w:cs="宋体"/>
                <w:color w:val="auto"/>
                <w:szCs w:val="21"/>
              </w:rPr>
            </w:pPr>
          </w:p>
        </w:tc>
      </w:tr>
      <w:tr>
        <w:tblPrEx>
          <w:tblCellMar>
            <w:top w:w="0" w:type="dxa"/>
            <w:left w:w="108" w:type="dxa"/>
            <w:bottom w:w="0" w:type="dxa"/>
            <w:right w:w="108" w:type="dxa"/>
          </w:tblCellMar>
        </w:tblPrEx>
        <w:trPr>
          <w:trHeight w:val="398" w:hRule="atLeast"/>
        </w:trPr>
        <w:tc>
          <w:tcPr>
            <w:tcW w:w="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w:t>
            </w:r>
          </w:p>
        </w:tc>
        <w:tc>
          <w:tcPr>
            <w:tcW w:w="1144" w:type="dxa"/>
            <w:vMerge w:val="continue"/>
            <w:tcBorders>
              <w:left w:val="single" w:color="000000" w:sz="4" w:space="0"/>
              <w:right w:val="single" w:color="000000" w:sz="4" w:space="0"/>
            </w:tcBorders>
            <w:noWrap/>
            <w:vAlign w:val="center"/>
          </w:tcPr>
          <w:p>
            <w:pPr>
              <w:widowControl/>
              <w:jc w:val="center"/>
              <w:textAlignment w:val="center"/>
              <w:rPr>
                <w:rFonts w:ascii="宋体" w:hAnsi="宋体" w:cs="宋体"/>
                <w:color w:val="auto"/>
                <w:szCs w:val="21"/>
              </w:rPr>
            </w:pPr>
          </w:p>
        </w:tc>
        <w:tc>
          <w:tcPr>
            <w:tcW w:w="1125" w:type="dxa"/>
            <w:vMerge w:val="continue"/>
            <w:tcBorders>
              <w:left w:val="single" w:color="000000" w:sz="4" w:space="0"/>
              <w:right w:val="single" w:color="000000" w:sz="4" w:space="0"/>
            </w:tcBorders>
            <w:noWrap/>
            <w:vAlign w:val="center"/>
          </w:tcPr>
          <w:p>
            <w:pPr>
              <w:widowControl/>
              <w:jc w:val="center"/>
              <w:textAlignment w:val="center"/>
              <w:rPr>
                <w:rFonts w:ascii="宋体" w:hAnsi="宋体" w:cs="宋体"/>
                <w:color w:val="auto"/>
                <w:szCs w:val="21"/>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快检试剂采购、验收培训</w:t>
            </w:r>
          </w:p>
        </w:tc>
        <w:tc>
          <w:tcPr>
            <w:tcW w:w="799" w:type="dxa"/>
            <w:vMerge w:val="continue"/>
            <w:tcBorders>
              <w:left w:val="single" w:color="000000" w:sz="4" w:space="0"/>
              <w:right w:val="single" w:color="000000" w:sz="4" w:space="0"/>
            </w:tcBorders>
            <w:noWrap/>
            <w:vAlign w:val="center"/>
          </w:tcPr>
          <w:p>
            <w:pPr>
              <w:widowControl/>
              <w:jc w:val="center"/>
              <w:textAlignment w:val="center"/>
              <w:rPr>
                <w:rFonts w:ascii="宋体" w:hAnsi="宋体" w:cs="宋体"/>
                <w:color w:val="auto"/>
                <w:szCs w:val="21"/>
              </w:rPr>
            </w:pPr>
          </w:p>
        </w:tc>
        <w:tc>
          <w:tcPr>
            <w:tcW w:w="715" w:type="dxa"/>
            <w:vMerge w:val="continue"/>
            <w:tcBorders>
              <w:left w:val="single" w:color="000000" w:sz="4" w:space="0"/>
              <w:right w:val="single" w:color="000000" w:sz="4" w:space="0"/>
            </w:tcBorders>
            <w:noWrap/>
            <w:vAlign w:val="center"/>
          </w:tcPr>
          <w:p>
            <w:pPr>
              <w:widowControl/>
              <w:jc w:val="center"/>
              <w:textAlignment w:val="center"/>
              <w:rPr>
                <w:rFonts w:ascii="宋体" w:hAnsi="宋体" w:cs="宋体"/>
                <w:color w:val="auto"/>
                <w:szCs w:val="21"/>
              </w:rPr>
            </w:pPr>
          </w:p>
        </w:tc>
        <w:tc>
          <w:tcPr>
            <w:tcW w:w="1561" w:type="dxa"/>
            <w:vMerge w:val="continue"/>
            <w:tcBorders>
              <w:left w:val="single" w:color="000000" w:sz="4" w:space="0"/>
              <w:right w:val="single" w:color="000000" w:sz="4" w:space="0"/>
            </w:tcBorders>
            <w:noWrap/>
            <w:vAlign w:val="center"/>
          </w:tcPr>
          <w:p>
            <w:pPr>
              <w:widowControl/>
              <w:jc w:val="center"/>
              <w:textAlignment w:val="center"/>
              <w:rPr>
                <w:rFonts w:ascii="宋体" w:hAnsi="宋体" w:cs="宋体"/>
                <w:color w:val="auto"/>
                <w:szCs w:val="21"/>
              </w:rPr>
            </w:pPr>
          </w:p>
        </w:tc>
      </w:tr>
      <w:tr>
        <w:tblPrEx>
          <w:tblCellMar>
            <w:top w:w="0" w:type="dxa"/>
            <w:left w:w="108" w:type="dxa"/>
            <w:bottom w:w="0" w:type="dxa"/>
            <w:right w:w="108" w:type="dxa"/>
          </w:tblCellMar>
        </w:tblPrEx>
        <w:trPr>
          <w:trHeight w:val="398" w:hRule="atLeast"/>
        </w:trPr>
        <w:tc>
          <w:tcPr>
            <w:tcW w:w="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3</w:t>
            </w:r>
          </w:p>
        </w:tc>
        <w:tc>
          <w:tcPr>
            <w:tcW w:w="1144" w:type="dxa"/>
            <w:vMerge w:val="continue"/>
            <w:tcBorders>
              <w:left w:val="single" w:color="000000" w:sz="4" w:space="0"/>
              <w:right w:val="single" w:color="000000" w:sz="4" w:space="0"/>
            </w:tcBorders>
            <w:noWrap/>
            <w:vAlign w:val="center"/>
          </w:tcPr>
          <w:p>
            <w:pPr>
              <w:widowControl/>
              <w:jc w:val="center"/>
              <w:textAlignment w:val="center"/>
              <w:rPr>
                <w:rFonts w:ascii="宋体" w:hAnsi="宋体" w:cs="宋体"/>
                <w:color w:val="auto"/>
                <w:szCs w:val="21"/>
              </w:rPr>
            </w:pPr>
          </w:p>
        </w:tc>
        <w:tc>
          <w:tcPr>
            <w:tcW w:w="1125" w:type="dxa"/>
            <w:vMerge w:val="continue"/>
            <w:tcBorders>
              <w:left w:val="single" w:color="000000" w:sz="4" w:space="0"/>
              <w:right w:val="single" w:color="000000" w:sz="4" w:space="0"/>
            </w:tcBorders>
            <w:noWrap/>
            <w:vAlign w:val="center"/>
          </w:tcPr>
          <w:p>
            <w:pPr>
              <w:widowControl/>
              <w:jc w:val="center"/>
              <w:textAlignment w:val="center"/>
              <w:rPr>
                <w:rFonts w:ascii="宋体" w:hAnsi="宋体" w:cs="宋体"/>
                <w:color w:val="auto"/>
                <w:szCs w:val="21"/>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农、兽残快速检测理论培训</w:t>
            </w:r>
          </w:p>
        </w:tc>
        <w:tc>
          <w:tcPr>
            <w:tcW w:w="799" w:type="dxa"/>
            <w:vMerge w:val="continue"/>
            <w:tcBorders>
              <w:left w:val="single" w:color="000000" w:sz="4" w:space="0"/>
              <w:right w:val="single" w:color="000000" w:sz="4" w:space="0"/>
            </w:tcBorders>
            <w:noWrap/>
            <w:vAlign w:val="center"/>
          </w:tcPr>
          <w:p>
            <w:pPr>
              <w:widowControl/>
              <w:jc w:val="center"/>
              <w:textAlignment w:val="center"/>
              <w:rPr>
                <w:rFonts w:ascii="宋体" w:hAnsi="宋体" w:cs="宋体"/>
                <w:color w:val="auto"/>
                <w:szCs w:val="21"/>
              </w:rPr>
            </w:pPr>
          </w:p>
        </w:tc>
        <w:tc>
          <w:tcPr>
            <w:tcW w:w="715" w:type="dxa"/>
            <w:vMerge w:val="continue"/>
            <w:tcBorders>
              <w:left w:val="single" w:color="000000" w:sz="4" w:space="0"/>
              <w:right w:val="single" w:color="000000" w:sz="4" w:space="0"/>
            </w:tcBorders>
            <w:noWrap/>
            <w:vAlign w:val="center"/>
          </w:tcPr>
          <w:p>
            <w:pPr>
              <w:widowControl/>
              <w:jc w:val="center"/>
              <w:textAlignment w:val="center"/>
              <w:rPr>
                <w:rFonts w:ascii="宋体" w:hAnsi="宋体" w:cs="宋体"/>
                <w:color w:val="auto"/>
                <w:szCs w:val="21"/>
              </w:rPr>
            </w:pPr>
          </w:p>
        </w:tc>
        <w:tc>
          <w:tcPr>
            <w:tcW w:w="1561" w:type="dxa"/>
            <w:vMerge w:val="continue"/>
            <w:tcBorders>
              <w:left w:val="single" w:color="000000" w:sz="4" w:space="0"/>
              <w:right w:val="single" w:color="000000" w:sz="4" w:space="0"/>
            </w:tcBorders>
            <w:noWrap/>
            <w:vAlign w:val="center"/>
          </w:tcPr>
          <w:p>
            <w:pPr>
              <w:widowControl/>
              <w:jc w:val="center"/>
              <w:textAlignment w:val="center"/>
              <w:rPr>
                <w:rFonts w:ascii="宋体" w:hAnsi="宋体" w:cs="宋体"/>
                <w:color w:val="auto"/>
                <w:szCs w:val="21"/>
              </w:rPr>
            </w:pPr>
          </w:p>
        </w:tc>
      </w:tr>
      <w:tr>
        <w:tblPrEx>
          <w:tblCellMar>
            <w:top w:w="0" w:type="dxa"/>
            <w:left w:w="108" w:type="dxa"/>
            <w:bottom w:w="0" w:type="dxa"/>
            <w:right w:w="108" w:type="dxa"/>
          </w:tblCellMar>
        </w:tblPrEx>
        <w:trPr>
          <w:trHeight w:val="398" w:hRule="atLeast"/>
        </w:trPr>
        <w:tc>
          <w:tcPr>
            <w:tcW w:w="4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4</w:t>
            </w:r>
          </w:p>
        </w:tc>
        <w:tc>
          <w:tcPr>
            <w:tcW w:w="1144" w:type="dxa"/>
            <w:vMerge w:val="continue"/>
            <w:tcBorders>
              <w:left w:val="single" w:color="000000" w:sz="4" w:space="0"/>
              <w:right w:val="single" w:color="000000" w:sz="4" w:space="0"/>
            </w:tcBorders>
            <w:noWrap/>
            <w:vAlign w:val="center"/>
          </w:tcPr>
          <w:p>
            <w:pPr>
              <w:widowControl/>
              <w:jc w:val="center"/>
              <w:textAlignment w:val="center"/>
              <w:rPr>
                <w:rFonts w:ascii="宋体" w:hAnsi="宋体" w:cs="宋体"/>
                <w:color w:val="auto"/>
                <w:szCs w:val="21"/>
              </w:rPr>
            </w:pPr>
          </w:p>
        </w:tc>
        <w:tc>
          <w:tcPr>
            <w:tcW w:w="1125" w:type="dxa"/>
            <w:vMerge w:val="continue"/>
            <w:tcBorders>
              <w:left w:val="single" w:color="000000" w:sz="4" w:space="0"/>
              <w:right w:val="single" w:color="000000" w:sz="4" w:space="0"/>
            </w:tcBorders>
            <w:noWrap/>
            <w:vAlign w:val="center"/>
          </w:tcPr>
          <w:p>
            <w:pPr>
              <w:widowControl/>
              <w:jc w:val="center"/>
              <w:textAlignment w:val="center"/>
              <w:rPr>
                <w:rFonts w:ascii="宋体" w:hAnsi="宋体" w:cs="宋体"/>
                <w:color w:val="auto"/>
                <w:szCs w:val="21"/>
              </w:rPr>
            </w:pPr>
          </w:p>
        </w:tc>
        <w:tc>
          <w:tcPr>
            <w:tcW w:w="3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农残快速检测实操培训</w:t>
            </w:r>
          </w:p>
        </w:tc>
        <w:tc>
          <w:tcPr>
            <w:tcW w:w="799" w:type="dxa"/>
            <w:vMerge w:val="continue"/>
            <w:tcBorders>
              <w:left w:val="single" w:color="000000" w:sz="4" w:space="0"/>
              <w:right w:val="single" w:color="000000" w:sz="4" w:space="0"/>
            </w:tcBorders>
            <w:noWrap/>
            <w:vAlign w:val="center"/>
          </w:tcPr>
          <w:p>
            <w:pPr>
              <w:widowControl/>
              <w:jc w:val="center"/>
              <w:textAlignment w:val="center"/>
              <w:rPr>
                <w:rFonts w:ascii="宋体" w:hAnsi="宋体" w:cs="宋体"/>
                <w:color w:val="auto"/>
                <w:szCs w:val="21"/>
              </w:rPr>
            </w:pPr>
          </w:p>
        </w:tc>
        <w:tc>
          <w:tcPr>
            <w:tcW w:w="715" w:type="dxa"/>
            <w:vMerge w:val="continue"/>
            <w:tcBorders>
              <w:left w:val="single" w:color="000000" w:sz="4" w:space="0"/>
              <w:right w:val="single" w:color="000000" w:sz="4" w:space="0"/>
            </w:tcBorders>
            <w:noWrap/>
            <w:vAlign w:val="center"/>
          </w:tcPr>
          <w:p>
            <w:pPr>
              <w:widowControl/>
              <w:jc w:val="center"/>
              <w:textAlignment w:val="center"/>
              <w:rPr>
                <w:rFonts w:ascii="宋体" w:hAnsi="宋体" w:cs="宋体"/>
                <w:color w:val="auto"/>
                <w:szCs w:val="21"/>
              </w:rPr>
            </w:pPr>
          </w:p>
        </w:tc>
        <w:tc>
          <w:tcPr>
            <w:tcW w:w="1561" w:type="dxa"/>
            <w:vMerge w:val="continue"/>
            <w:tcBorders>
              <w:left w:val="single" w:color="000000" w:sz="4" w:space="0"/>
              <w:right w:val="single" w:color="000000" w:sz="4" w:space="0"/>
            </w:tcBorders>
            <w:noWrap/>
            <w:vAlign w:val="center"/>
          </w:tcPr>
          <w:p>
            <w:pPr>
              <w:widowControl/>
              <w:jc w:val="center"/>
              <w:textAlignment w:val="center"/>
              <w:rPr>
                <w:rFonts w:ascii="宋体" w:hAnsi="宋体" w:cs="宋体"/>
                <w:color w:val="auto"/>
                <w:szCs w:val="21"/>
              </w:rPr>
            </w:pPr>
          </w:p>
        </w:tc>
      </w:tr>
      <w:tr>
        <w:tblPrEx>
          <w:tblCellMar>
            <w:top w:w="0" w:type="dxa"/>
            <w:left w:w="108" w:type="dxa"/>
            <w:bottom w:w="0" w:type="dxa"/>
            <w:right w:w="108" w:type="dxa"/>
          </w:tblCellMar>
        </w:tblPrEx>
        <w:trPr>
          <w:trHeight w:val="407" w:hRule="atLeast"/>
        </w:trPr>
        <w:tc>
          <w:tcPr>
            <w:tcW w:w="442"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5</w:t>
            </w:r>
          </w:p>
        </w:tc>
        <w:tc>
          <w:tcPr>
            <w:tcW w:w="1144" w:type="dxa"/>
            <w:vMerge w:val="continue"/>
            <w:tcBorders>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color w:val="auto"/>
                <w:szCs w:val="21"/>
              </w:rPr>
            </w:pPr>
          </w:p>
        </w:tc>
        <w:tc>
          <w:tcPr>
            <w:tcW w:w="1125" w:type="dxa"/>
            <w:vMerge w:val="continue"/>
            <w:tcBorders>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color w:val="auto"/>
                <w:szCs w:val="21"/>
              </w:rPr>
            </w:pPr>
          </w:p>
        </w:tc>
        <w:tc>
          <w:tcPr>
            <w:tcW w:w="3060"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兽残快速检测实操培训</w:t>
            </w:r>
          </w:p>
        </w:tc>
        <w:tc>
          <w:tcPr>
            <w:tcW w:w="799" w:type="dxa"/>
            <w:vMerge w:val="continue"/>
            <w:tcBorders>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color w:val="auto"/>
                <w:szCs w:val="21"/>
              </w:rPr>
            </w:pPr>
          </w:p>
        </w:tc>
        <w:tc>
          <w:tcPr>
            <w:tcW w:w="715" w:type="dxa"/>
            <w:vMerge w:val="continue"/>
            <w:tcBorders>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color w:val="auto"/>
                <w:szCs w:val="21"/>
              </w:rPr>
            </w:pPr>
          </w:p>
        </w:tc>
        <w:tc>
          <w:tcPr>
            <w:tcW w:w="1561" w:type="dxa"/>
            <w:vMerge w:val="continue"/>
            <w:tcBorders>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color w:val="auto"/>
                <w:szCs w:val="21"/>
              </w:rPr>
            </w:pPr>
          </w:p>
        </w:tc>
      </w:tr>
    </w:tbl>
    <w:p>
      <w:pPr>
        <w:pStyle w:val="11"/>
        <w:numPr>
          <w:ilvl w:val="0"/>
          <w:numId w:val="9"/>
        </w:numPr>
        <w:tabs>
          <w:tab w:val="left" w:pos="540"/>
        </w:tabs>
        <w:autoSpaceDE/>
        <w:autoSpaceDN/>
        <w:snapToGrid w:val="0"/>
        <w:spacing w:line="360" w:lineRule="auto"/>
        <w:jc w:val="both"/>
        <w:rPr>
          <w:rFonts w:hAnsi="宋体"/>
          <w:b/>
          <w:color w:val="auto"/>
          <w:sz w:val="21"/>
          <w:szCs w:val="21"/>
        </w:rPr>
      </w:pPr>
      <w:r>
        <w:rPr>
          <w:rFonts w:hint="eastAsia" w:hAnsi="宋体"/>
          <w:b/>
          <w:color w:val="auto"/>
          <w:sz w:val="21"/>
          <w:szCs w:val="21"/>
        </w:rPr>
        <w:t>项目要求</w:t>
      </w:r>
    </w:p>
    <w:p>
      <w:pPr>
        <w:numPr>
          <w:ilvl w:val="0"/>
          <w:numId w:val="10"/>
        </w:numPr>
        <w:spacing w:line="360" w:lineRule="auto"/>
        <w:rPr>
          <w:rFonts w:ascii="宋体" w:hAnsi="宋体" w:cs="宋体"/>
          <w:color w:val="auto"/>
        </w:rPr>
      </w:pPr>
      <w:r>
        <w:rPr>
          <w:rFonts w:hint="eastAsia" w:ascii="宋体" w:hAnsi="宋体" w:cs="宋体"/>
          <w:color w:val="auto"/>
        </w:rPr>
        <w:t>根据招标人的培训需求，成交人应派出对应的培训讲师，按照双方沟通的时间和进度安排，完成培训；</w:t>
      </w:r>
    </w:p>
    <w:p>
      <w:pPr>
        <w:numPr>
          <w:ilvl w:val="0"/>
          <w:numId w:val="10"/>
        </w:numPr>
        <w:spacing w:line="360" w:lineRule="auto"/>
        <w:rPr>
          <w:rFonts w:ascii="宋体" w:hAnsi="宋体" w:cs="宋体"/>
          <w:color w:val="auto"/>
        </w:rPr>
      </w:pPr>
      <w:r>
        <w:rPr>
          <w:rFonts w:hint="eastAsia" w:ascii="宋体" w:hAnsi="宋体" w:cs="宋体"/>
          <w:color w:val="auto"/>
        </w:rPr>
        <w:t>成交人应根据本项目工作进度的要求和工作量，安排足够的工作人员提供服务。提供的服务须符合国家相关标准要求，且符合招标人现有的实际情况。</w:t>
      </w:r>
    </w:p>
    <w:p>
      <w:pPr>
        <w:numPr>
          <w:ilvl w:val="0"/>
          <w:numId w:val="10"/>
        </w:numPr>
        <w:spacing w:line="360" w:lineRule="auto"/>
        <w:rPr>
          <w:rFonts w:ascii="宋体" w:hAnsi="宋体" w:cs="宋体"/>
          <w:color w:val="auto"/>
        </w:rPr>
      </w:pPr>
      <w:r>
        <w:rPr>
          <w:rFonts w:hint="eastAsia" w:ascii="宋体" w:hAnsi="宋体" w:cs="宋体"/>
          <w:color w:val="auto"/>
        </w:rPr>
        <w:t>成交人为学员提供午餐，每人标准不超40元。</w:t>
      </w:r>
    </w:p>
    <w:p>
      <w:pPr>
        <w:numPr>
          <w:ilvl w:val="0"/>
          <w:numId w:val="10"/>
        </w:numPr>
        <w:spacing w:line="360" w:lineRule="auto"/>
        <w:rPr>
          <w:rFonts w:ascii="宋体" w:hAnsi="宋体" w:cs="宋体"/>
          <w:color w:val="auto"/>
        </w:rPr>
      </w:pPr>
      <w:r>
        <w:rPr>
          <w:rFonts w:hint="eastAsia" w:ascii="宋体" w:hAnsi="宋体" w:cs="宋体"/>
          <w:color w:val="auto"/>
        </w:rPr>
        <w:t>成交人确保每名学员都有机会实操1次胶体金。</w:t>
      </w:r>
    </w:p>
    <w:p>
      <w:pPr>
        <w:numPr>
          <w:ilvl w:val="0"/>
          <w:numId w:val="10"/>
        </w:numPr>
        <w:spacing w:line="360" w:lineRule="auto"/>
        <w:rPr>
          <w:rFonts w:ascii="宋体" w:hAnsi="宋体" w:cs="宋体"/>
          <w:color w:val="auto"/>
        </w:rPr>
      </w:pPr>
      <w:r>
        <w:rPr>
          <w:rFonts w:hint="eastAsia" w:ascii="宋体" w:hAnsi="宋体" w:cs="宋体"/>
          <w:color w:val="auto"/>
        </w:rPr>
        <w:t>成交人提供现场培训所需实验物资，包括但不限于胶体金、移液器、投影仪等。</w:t>
      </w:r>
    </w:p>
    <w:p>
      <w:pPr>
        <w:pStyle w:val="11"/>
        <w:numPr>
          <w:ilvl w:val="0"/>
          <w:numId w:val="9"/>
        </w:numPr>
        <w:tabs>
          <w:tab w:val="left" w:pos="540"/>
        </w:tabs>
        <w:autoSpaceDE/>
        <w:autoSpaceDN/>
        <w:snapToGrid w:val="0"/>
        <w:spacing w:line="360" w:lineRule="auto"/>
        <w:jc w:val="both"/>
        <w:rPr>
          <w:rFonts w:hAnsi="宋体"/>
          <w:b/>
          <w:color w:val="auto"/>
          <w:sz w:val="21"/>
          <w:szCs w:val="21"/>
        </w:rPr>
      </w:pPr>
      <w:r>
        <w:rPr>
          <w:rFonts w:hint="eastAsia" w:hAnsi="宋体"/>
          <w:b/>
          <w:color w:val="auto"/>
          <w:sz w:val="21"/>
          <w:szCs w:val="21"/>
        </w:rPr>
        <w:t>付款方式</w:t>
      </w:r>
    </w:p>
    <w:p>
      <w:pPr>
        <w:spacing w:line="360" w:lineRule="auto"/>
        <w:ind w:firstLine="420" w:firstLineChars="200"/>
        <w:rPr>
          <w:rFonts w:ascii="宋体" w:hAnsi="宋体" w:cs="宋体"/>
          <w:color w:val="auto"/>
          <w:szCs w:val="21"/>
        </w:rPr>
      </w:pPr>
      <w:r>
        <w:rPr>
          <w:rFonts w:hint="eastAsia" w:ascii="宋体" w:hAnsi="宋体" w:cs="宋体"/>
          <w:color w:val="auto"/>
          <w:szCs w:val="21"/>
        </w:rPr>
        <w:t>1.签订合同后10个工作日内，招标人凭成交人开具的等额合法的增值税专用发票，支付合同首期款50%；项目完成并经招标人验收确认后10个工作日内，招标人凭成交人开具的等额合法的增值税专用发票，支付合同余款。</w:t>
      </w:r>
    </w:p>
    <w:p>
      <w:pPr>
        <w:pStyle w:val="41"/>
        <w:spacing w:line="360" w:lineRule="auto"/>
        <w:rPr>
          <w:rFonts w:ascii="宋体" w:hAnsi="宋体" w:cs="宋体"/>
          <w:color w:val="auto"/>
          <w:sz w:val="21"/>
          <w:szCs w:val="21"/>
        </w:rPr>
      </w:pPr>
      <w:r>
        <w:rPr>
          <w:rFonts w:hint="eastAsia" w:ascii="宋体" w:hAnsi="宋体"/>
          <w:bCs/>
          <w:color w:val="auto"/>
          <w:kern w:val="21"/>
          <w:sz w:val="21"/>
          <w:szCs w:val="21"/>
        </w:rPr>
        <w:t>2.因招标人使用的是财政资金，按照前款规定的付款时间，招标人在收到成交人发票后5个工作日内向政府支付部门提出办理财政支付申请手续（不含政府财政支付部门审核的时间），在规定时间内提出支付申请手续后即视为招标人已经按期支付。</w:t>
      </w:r>
    </w:p>
    <w:p>
      <w:pPr>
        <w:pStyle w:val="11"/>
        <w:tabs>
          <w:tab w:val="left" w:pos="540"/>
        </w:tabs>
        <w:autoSpaceDE/>
        <w:autoSpaceDN/>
        <w:snapToGrid w:val="0"/>
        <w:spacing w:line="360" w:lineRule="auto"/>
        <w:jc w:val="both"/>
        <w:rPr>
          <w:rFonts w:hAnsi="宋体"/>
          <w:b/>
          <w:color w:val="auto"/>
          <w:sz w:val="21"/>
          <w:szCs w:val="21"/>
        </w:rPr>
      </w:pPr>
    </w:p>
    <w:p>
      <w:pPr>
        <w:rPr>
          <w:rFonts w:hAnsi="宋体"/>
          <w:b/>
          <w:color w:val="auto"/>
          <w:szCs w:val="21"/>
        </w:rPr>
      </w:pPr>
    </w:p>
    <w:p>
      <w:pPr>
        <w:pStyle w:val="2"/>
        <w:rPr>
          <w:rFonts w:hAnsi="宋体"/>
          <w:b/>
          <w:color w:val="auto"/>
          <w:sz w:val="21"/>
          <w:szCs w:val="21"/>
        </w:rPr>
      </w:pPr>
    </w:p>
    <w:p>
      <w:pPr>
        <w:pStyle w:val="2"/>
        <w:rPr>
          <w:rFonts w:hAnsi="宋体"/>
          <w:b/>
          <w:color w:val="auto"/>
          <w:sz w:val="21"/>
          <w:szCs w:val="21"/>
        </w:rPr>
      </w:pPr>
    </w:p>
    <w:p>
      <w:pPr>
        <w:pStyle w:val="2"/>
        <w:rPr>
          <w:rFonts w:hAnsi="宋体"/>
          <w:b/>
          <w:color w:val="auto"/>
          <w:sz w:val="21"/>
          <w:szCs w:val="21"/>
        </w:rPr>
      </w:pPr>
    </w:p>
    <w:p>
      <w:pPr>
        <w:pStyle w:val="2"/>
        <w:rPr>
          <w:rFonts w:hAnsi="宋体"/>
          <w:b/>
          <w:color w:val="auto"/>
          <w:sz w:val="21"/>
          <w:szCs w:val="21"/>
        </w:rPr>
      </w:pPr>
    </w:p>
    <w:p>
      <w:pPr>
        <w:pStyle w:val="2"/>
        <w:rPr>
          <w:rFonts w:hAnsi="宋体"/>
          <w:b/>
          <w:color w:val="auto"/>
          <w:sz w:val="21"/>
          <w:szCs w:val="21"/>
        </w:rPr>
      </w:pPr>
    </w:p>
    <w:p>
      <w:pPr>
        <w:pStyle w:val="2"/>
        <w:rPr>
          <w:rFonts w:hAnsi="宋体"/>
          <w:b/>
          <w:color w:val="auto"/>
          <w:sz w:val="21"/>
          <w:szCs w:val="21"/>
        </w:rPr>
      </w:pPr>
    </w:p>
    <w:p>
      <w:pPr>
        <w:pStyle w:val="2"/>
        <w:rPr>
          <w:rFonts w:hAnsi="宋体"/>
          <w:b/>
          <w:color w:val="auto"/>
          <w:sz w:val="21"/>
          <w:szCs w:val="21"/>
        </w:rPr>
      </w:pPr>
    </w:p>
    <w:p>
      <w:pPr>
        <w:pStyle w:val="2"/>
        <w:rPr>
          <w:rFonts w:hAnsi="宋体"/>
          <w:b/>
          <w:color w:val="auto"/>
          <w:sz w:val="21"/>
          <w:szCs w:val="21"/>
        </w:rPr>
      </w:pPr>
    </w:p>
    <w:p>
      <w:pPr>
        <w:pStyle w:val="2"/>
        <w:rPr>
          <w:rFonts w:hAnsi="宋体"/>
          <w:b/>
          <w:color w:val="auto"/>
          <w:sz w:val="21"/>
          <w:szCs w:val="21"/>
        </w:rPr>
      </w:pPr>
    </w:p>
    <w:p>
      <w:pPr>
        <w:pStyle w:val="2"/>
        <w:rPr>
          <w:rFonts w:hAnsi="宋体"/>
          <w:b/>
          <w:color w:val="auto"/>
          <w:sz w:val="21"/>
          <w:szCs w:val="21"/>
        </w:rPr>
      </w:pPr>
    </w:p>
    <w:p>
      <w:pPr>
        <w:pStyle w:val="2"/>
        <w:rPr>
          <w:rFonts w:hAnsi="宋体"/>
          <w:b/>
          <w:color w:val="auto"/>
          <w:sz w:val="21"/>
          <w:szCs w:val="21"/>
        </w:rPr>
      </w:pPr>
    </w:p>
    <w:p>
      <w:pPr>
        <w:pStyle w:val="2"/>
        <w:rPr>
          <w:rFonts w:hAnsi="宋体"/>
          <w:b/>
          <w:color w:val="auto"/>
          <w:sz w:val="21"/>
          <w:szCs w:val="21"/>
        </w:rPr>
      </w:pPr>
    </w:p>
    <w:p>
      <w:pPr>
        <w:pStyle w:val="2"/>
        <w:rPr>
          <w:rFonts w:hAnsi="宋体"/>
          <w:b/>
          <w:color w:val="auto"/>
          <w:sz w:val="21"/>
          <w:szCs w:val="21"/>
        </w:rPr>
      </w:pPr>
    </w:p>
    <w:p>
      <w:pPr>
        <w:pStyle w:val="2"/>
        <w:rPr>
          <w:rFonts w:hAnsi="宋体"/>
          <w:b/>
          <w:color w:val="auto"/>
          <w:sz w:val="21"/>
          <w:szCs w:val="21"/>
        </w:rPr>
      </w:pPr>
    </w:p>
    <w:p>
      <w:pPr>
        <w:pStyle w:val="2"/>
        <w:rPr>
          <w:rFonts w:hAnsi="宋体"/>
          <w:b/>
          <w:color w:val="auto"/>
          <w:sz w:val="21"/>
          <w:szCs w:val="21"/>
        </w:rPr>
      </w:pPr>
    </w:p>
    <w:p>
      <w:pPr>
        <w:pStyle w:val="2"/>
        <w:rPr>
          <w:rFonts w:hAnsi="宋体"/>
          <w:b/>
          <w:color w:val="auto"/>
          <w:sz w:val="21"/>
          <w:szCs w:val="21"/>
        </w:rPr>
      </w:pPr>
    </w:p>
    <w:p>
      <w:pPr>
        <w:pStyle w:val="2"/>
        <w:rPr>
          <w:rFonts w:hAnsi="宋体"/>
          <w:b/>
          <w:color w:val="auto"/>
          <w:sz w:val="21"/>
          <w:szCs w:val="21"/>
        </w:rPr>
      </w:pPr>
    </w:p>
    <w:p>
      <w:pPr>
        <w:pStyle w:val="2"/>
        <w:rPr>
          <w:rFonts w:hAnsi="宋体"/>
          <w:b/>
          <w:color w:val="auto"/>
          <w:sz w:val="21"/>
          <w:szCs w:val="21"/>
        </w:rPr>
      </w:pPr>
    </w:p>
    <w:p>
      <w:pPr>
        <w:pStyle w:val="2"/>
        <w:rPr>
          <w:rFonts w:hAnsi="宋体"/>
          <w:b/>
          <w:color w:val="auto"/>
          <w:sz w:val="21"/>
          <w:szCs w:val="21"/>
        </w:rPr>
      </w:pPr>
    </w:p>
    <w:p>
      <w:pPr>
        <w:pStyle w:val="2"/>
        <w:rPr>
          <w:rFonts w:hAnsi="宋体"/>
          <w:b/>
          <w:color w:val="auto"/>
          <w:sz w:val="21"/>
          <w:szCs w:val="21"/>
        </w:rPr>
      </w:pPr>
    </w:p>
    <w:p>
      <w:pPr>
        <w:pStyle w:val="2"/>
        <w:rPr>
          <w:rFonts w:hAnsi="宋体"/>
          <w:b/>
          <w:color w:val="auto"/>
          <w:sz w:val="21"/>
          <w:szCs w:val="21"/>
        </w:rPr>
      </w:pPr>
    </w:p>
    <w:p>
      <w:pPr>
        <w:pStyle w:val="2"/>
        <w:rPr>
          <w:rFonts w:hAnsi="宋体"/>
          <w:b/>
          <w:color w:val="auto"/>
          <w:sz w:val="21"/>
          <w:szCs w:val="21"/>
        </w:rPr>
      </w:pPr>
    </w:p>
    <w:p>
      <w:pPr>
        <w:pStyle w:val="2"/>
        <w:rPr>
          <w:rFonts w:hAnsi="宋体"/>
          <w:b/>
          <w:color w:val="auto"/>
          <w:sz w:val="21"/>
          <w:szCs w:val="21"/>
        </w:rPr>
      </w:pPr>
    </w:p>
    <w:p>
      <w:pPr>
        <w:pStyle w:val="2"/>
        <w:rPr>
          <w:rFonts w:hAnsi="宋体"/>
          <w:b/>
          <w:color w:val="auto"/>
          <w:sz w:val="21"/>
          <w:szCs w:val="21"/>
        </w:rPr>
      </w:pPr>
    </w:p>
    <w:p>
      <w:pPr>
        <w:pStyle w:val="2"/>
        <w:rPr>
          <w:rFonts w:hAnsi="宋体"/>
          <w:b/>
          <w:color w:val="auto"/>
          <w:sz w:val="21"/>
          <w:szCs w:val="21"/>
        </w:rPr>
      </w:pPr>
    </w:p>
    <w:p>
      <w:pPr>
        <w:pStyle w:val="2"/>
        <w:rPr>
          <w:rFonts w:hAnsi="宋体"/>
          <w:b/>
          <w:color w:val="auto"/>
          <w:sz w:val="21"/>
          <w:szCs w:val="21"/>
        </w:rPr>
      </w:pPr>
    </w:p>
    <w:p>
      <w:pPr>
        <w:pStyle w:val="2"/>
        <w:rPr>
          <w:rFonts w:hAnsi="宋体"/>
          <w:b/>
          <w:color w:val="auto"/>
          <w:sz w:val="21"/>
          <w:szCs w:val="21"/>
        </w:rPr>
      </w:pPr>
    </w:p>
    <w:p>
      <w:pPr>
        <w:pStyle w:val="2"/>
        <w:rPr>
          <w:rFonts w:hAnsi="宋体"/>
          <w:b/>
          <w:color w:val="auto"/>
          <w:sz w:val="21"/>
          <w:szCs w:val="21"/>
        </w:rPr>
      </w:pPr>
    </w:p>
    <w:p>
      <w:pPr>
        <w:jc w:val="center"/>
        <w:rPr>
          <w:b/>
          <w:bCs/>
          <w:color w:val="auto"/>
          <w:sz w:val="28"/>
          <w:szCs w:val="28"/>
        </w:rPr>
      </w:pPr>
      <w:r>
        <w:rPr>
          <w:rFonts w:hint="eastAsia"/>
          <w:b/>
          <w:bCs/>
          <w:color w:val="auto"/>
          <w:sz w:val="28"/>
          <w:szCs w:val="28"/>
        </w:rPr>
        <w:t>包组二：农产品质量安全基层检测技术人员培训及危险化学品使用储存场所安全现状评价、职业病危害因素检测</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4"/>
        <w:gridCol w:w="2880"/>
        <w:gridCol w:w="746"/>
        <w:gridCol w:w="2567"/>
        <w:gridCol w:w="17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2" w:hRule="atLeast"/>
          <w:jc w:val="center"/>
        </w:trPr>
        <w:tc>
          <w:tcPr>
            <w:tcW w:w="944" w:type="dxa"/>
            <w:shd w:val="clear" w:color="auto" w:fill="EEECE1"/>
            <w:noWrap/>
            <w:vAlign w:val="center"/>
          </w:tcPr>
          <w:p>
            <w:pPr>
              <w:jc w:val="center"/>
              <w:rPr>
                <w:rFonts w:ascii="宋体" w:hAnsi="宋体" w:cs="宋体"/>
                <w:b/>
                <w:color w:val="auto"/>
                <w:szCs w:val="21"/>
              </w:rPr>
            </w:pPr>
            <w:r>
              <w:rPr>
                <w:rFonts w:hint="eastAsia" w:ascii="宋体" w:hAnsi="宋体" w:cs="宋体"/>
                <w:b/>
                <w:color w:val="auto"/>
                <w:szCs w:val="21"/>
              </w:rPr>
              <w:t>包组号</w:t>
            </w:r>
          </w:p>
        </w:tc>
        <w:tc>
          <w:tcPr>
            <w:tcW w:w="2880" w:type="dxa"/>
            <w:shd w:val="clear" w:color="auto" w:fill="EEECE1"/>
            <w:noWrap/>
            <w:vAlign w:val="center"/>
          </w:tcPr>
          <w:p>
            <w:pPr>
              <w:jc w:val="center"/>
              <w:rPr>
                <w:rFonts w:ascii="宋体" w:hAnsi="宋体" w:cs="宋体"/>
                <w:b/>
                <w:color w:val="auto"/>
                <w:szCs w:val="21"/>
              </w:rPr>
            </w:pPr>
            <w:r>
              <w:rPr>
                <w:rFonts w:hint="eastAsia" w:ascii="宋体" w:hAnsi="宋体" w:cs="宋体"/>
                <w:b/>
                <w:color w:val="auto"/>
                <w:szCs w:val="21"/>
              </w:rPr>
              <w:t>采购内容</w:t>
            </w:r>
          </w:p>
        </w:tc>
        <w:tc>
          <w:tcPr>
            <w:tcW w:w="746" w:type="dxa"/>
            <w:shd w:val="clear" w:color="auto" w:fill="EEECE1"/>
            <w:noWrap/>
            <w:vAlign w:val="center"/>
          </w:tcPr>
          <w:p>
            <w:pPr>
              <w:jc w:val="center"/>
              <w:rPr>
                <w:rFonts w:ascii="宋体" w:hAnsi="宋体" w:cs="宋体"/>
                <w:b/>
                <w:color w:val="auto"/>
                <w:szCs w:val="21"/>
              </w:rPr>
            </w:pPr>
            <w:r>
              <w:rPr>
                <w:rFonts w:hint="eastAsia" w:ascii="宋体" w:hAnsi="宋体" w:cs="宋体"/>
                <w:b/>
                <w:color w:val="auto"/>
                <w:szCs w:val="21"/>
              </w:rPr>
              <w:t>数量</w:t>
            </w:r>
          </w:p>
        </w:tc>
        <w:tc>
          <w:tcPr>
            <w:tcW w:w="2567" w:type="dxa"/>
            <w:shd w:val="clear" w:color="auto" w:fill="EEECE1"/>
            <w:noWrap/>
            <w:vAlign w:val="center"/>
          </w:tcPr>
          <w:p>
            <w:pPr>
              <w:jc w:val="center"/>
              <w:rPr>
                <w:rFonts w:ascii="宋体" w:hAnsi="宋体" w:cs="宋体"/>
                <w:b/>
                <w:color w:val="auto"/>
                <w:szCs w:val="21"/>
              </w:rPr>
            </w:pPr>
            <w:r>
              <w:rPr>
                <w:rFonts w:hint="eastAsia" w:ascii="宋体" w:hAnsi="宋体" w:cs="宋体"/>
                <w:b/>
                <w:color w:val="auto"/>
                <w:szCs w:val="21"/>
              </w:rPr>
              <w:t>服务期限</w:t>
            </w:r>
          </w:p>
        </w:tc>
        <w:tc>
          <w:tcPr>
            <w:tcW w:w="1761" w:type="dxa"/>
            <w:shd w:val="clear" w:color="auto" w:fill="EEECE1"/>
            <w:noWrap/>
            <w:vAlign w:val="center"/>
          </w:tcPr>
          <w:p>
            <w:pPr>
              <w:jc w:val="center"/>
              <w:rPr>
                <w:rFonts w:ascii="宋体" w:hAnsi="宋体" w:cs="宋体"/>
                <w:b/>
                <w:color w:val="auto"/>
                <w:szCs w:val="21"/>
              </w:rPr>
            </w:pPr>
            <w:r>
              <w:rPr>
                <w:rFonts w:hint="eastAsia" w:ascii="宋体" w:hAnsi="宋体" w:cs="宋体"/>
                <w:b/>
                <w:color w:val="auto"/>
                <w:szCs w:val="21"/>
              </w:rPr>
              <w:t>最高限价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6" w:hRule="atLeast"/>
          <w:jc w:val="center"/>
        </w:trPr>
        <w:tc>
          <w:tcPr>
            <w:tcW w:w="944" w:type="dxa"/>
            <w:vMerge w:val="restart"/>
            <w:noWrap/>
            <w:vAlign w:val="center"/>
          </w:tcPr>
          <w:p>
            <w:pPr>
              <w:jc w:val="center"/>
              <w:rPr>
                <w:rFonts w:ascii="宋体" w:hAnsi="宋体" w:cs="宋体"/>
                <w:bCs/>
                <w:color w:val="auto"/>
                <w:szCs w:val="21"/>
              </w:rPr>
            </w:pPr>
            <w:r>
              <w:rPr>
                <w:rFonts w:hint="eastAsia" w:ascii="宋体" w:hAnsi="宋体" w:cs="宋体"/>
                <w:bCs/>
                <w:color w:val="auto"/>
                <w:szCs w:val="21"/>
              </w:rPr>
              <w:t>包组二</w:t>
            </w:r>
          </w:p>
        </w:tc>
        <w:tc>
          <w:tcPr>
            <w:tcW w:w="2880" w:type="dxa"/>
            <w:noWrap/>
            <w:vAlign w:val="center"/>
          </w:tcPr>
          <w:p>
            <w:pPr>
              <w:jc w:val="center"/>
              <w:rPr>
                <w:rFonts w:ascii="宋体" w:hAnsi="宋体" w:cs="宋体"/>
                <w:bCs/>
                <w:color w:val="auto"/>
                <w:szCs w:val="21"/>
              </w:rPr>
            </w:pPr>
            <w:r>
              <w:rPr>
                <w:rFonts w:hint="eastAsia" w:ascii="宋体" w:hAnsi="宋体" w:cs="宋体"/>
                <w:bCs/>
                <w:color w:val="auto"/>
                <w:szCs w:val="21"/>
              </w:rPr>
              <w:t>危险化学品使用储存场所安全现状评价和安全技术服务</w:t>
            </w:r>
          </w:p>
        </w:tc>
        <w:tc>
          <w:tcPr>
            <w:tcW w:w="746" w:type="dxa"/>
            <w:noWrap/>
            <w:vAlign w:val="center"/>
          </w:tcPr>
          <w:p>
            <w:pPr>
              <w:jc w:val="center"/>
              <w:rPr>
                <w:rFonts w:ascii="宋体" w:hAnsi="宋体" w:cs="宋体"/>
                <w:color w:val="auto"/>
              </w:rPr>
            </w:pPr>
            <w:r>
              <w:rPr>
                <w:rFonts w:hint="eastAsia" w:ascii="宋体" w:hAnsi="宋体" w:cs="宋体"/>
                <w:color w:val="auto"/>
              </w:rPr>
              <w:t>1项</w:t>
            </w:r>
          </w:p>
        </w:tc>
        <w:tc>
          <w:tcPr>
            <w:tcW w:w="2567" w:type="dxa"/>
            <w:vMerge w:val="restart"/>
            <w:noWrap/>
            <w:vAlign w:val="center"/>
          </w:tcPr>
          <w:p>
            <w:pPr>
              <w:pStyle w:val="46"/>
              <w:spacing w:line="240" w:lineRule="auto"/>
              <w:rPr>
                <w:rFonts w:ascii="宋体" w:hAnsi="宋体" w:cs="宋体"/>
                <w:snapToGrid/>
                <w:color w:val="auto"/>
                <w:spacing w:val="0"/>
                <w:kern w:val="2"/>
                <w:sz w:val="21"/>
                <w:szCs w:val="21"/>
              </w:rPr>
            </w:pPr>
            <w:r>
              <w:rPr>
                <w:rFonts w:hint="eastAsia" w:ascii="宋体" w:hAnsi="宋体" w:cs="宋体"/>
                <w:snapToGrid/>
                <w:color w:val="auto"/>
                <w:spacing w:val="0"/>
                <w:kern w:val="2"/>
                <w:sz w:val="21"/>
                <w:szCs w:val="21"/>
              </w:rPr>
              <w:t>自合同签订之日起30个工作日内完成</w:t>
            </w:r>
          </w:p>
        </w:tc>
        <w:tc>
          <w:tcPr>
            <w:tcW w:w="1761" w:type="dxa"/>
            <w:vMerge w:val="restart"/>
            <w:noWrap/>
            <w:vAlign w:val="center"/>
          </w:tcPr>
          <w:p>
            <w:pPr>
              <w:jc w:val="center"/>
              <w:rPr>
                <w:rFonts w:ascii="宋体" w:hAnsi="宋体" w:cs="宋体"/>
                <w:color w:val="auto"/>
              </w:rPr>
            </w:pPr>
            <w:r>
              <w:rPr>
                <w:rFonts w:hint="eastAsia" w:ascii="宋体" w:hAnsi="宋体" w:cs="宋体"/>
                <w:color w:val="auto"/>
              </w:rPr>
              <w:t>人民币3.38万元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944" w:type="dxa"/>
            <w:vMerge w:val="continue"/>
            <w:noWrap/>
            <w:vAlign w:val="center"/>
          </w:tcPr>
          <w:p>
            <w:pPr>
              <w:jc w:val="center"/>
              <w:rPr>
                <w:rFonts w:ascii="宋体" w:hAnsi="宋体" w:cs="宋体"/>
                <w:bCs/>
                <w:color w:val="auto"/>
                <w:szCs w:val="21"/>
              </w:rPr>
            </w:pPr>
          </w:p>
        </w:tc>
        <w:tc>
          <w:tcPr>
            <w:tcW w:w="2880" w:type="dxa"/>
            <w:noWrap/>
            <w:vAlign w:val="center"/>
          </w:tcPr>
          <w:p>
            <w:pPr>
              <w:jc w:val="center"/>
              <w:rPr>
                <w:rFonts w:ascii="宋体" w:hAnsi="宋体" w:cs="宋体"/>
                <w:bCs/>
                <w:color w:val="auto"/>
                <w:szCs w:val="21"/>
              </w:rPr>
            </w:pPr>
            <w:r>
              <w:rPr>
                <w:rFonts w:hint="eastAsia" w:ascii="宋体" w:hAnsi="宋体" w:cs="宋体"/>
                <w:bCs/>
                <w:color w:val="auto"/>
                <w:szCs w:val="21"/>
              </w:rPr>
              <w:t>职业病危害因素检测</w:t>
            </w:r>
          </w:p>
        </w:tc>
        <w:tc>
          <w:tcPr>
            <w:tcW w:w="746" w:type="dxa"/>
            <w:noWrap/>
            <w:vAlign w:val="center"/>
          </w:tcPr>
          <w:p>
            <w:pPr>
              <w:jc w:val="center"/>
              <w:rPr>
                <w:rFonts w:ascii="宋体" w:hAnsi="宋体" w:cs="宋体"/>
                <w:color w:val="auto"/>
              </w:rPr>
            </w:pPr>
            <w:r>
              <w:rPr>
                <w:rFonts w:hint="eastAsia" w:ascii="宋体" w:hAnsi="宋体" w:cs="宋体"/>
                <w:color w:val="auto"/>
              </w:rPr>
              <w:t>1项</w:t>
            </w:r>
          </w:p>
        </w:tc>
        <w:tc>
          <w:tcPr>
            <w:tcW w:w="2567" w:type="dxa"/>
            <w:vMerge w:val="continue"/>
            <w:noWrap/>
            <w:vAlign w:val="center"/>
          </w:tcPr>
          <w:p>
            <w:pPr>
              <w:pStyle w:val="46"/>
              <w:spacing w:line="240" w:lineRule="auto"/>
              <w:rPr>
                <w:rFonts w:ascii="宋体" w:hAnsi="宋体" w:cs="宋体"/>
                <w:snapToGrid/>
                <w:color w:val="auto"/>
                <w:spacing w:val="0"/>
                <w:kern w:val="2"/>
                <w:sz w:val="21"/>
                <w:szCs w:val="21"/>
              </w:rPr>
            </w:pPr>
          </w:p>
        </w:tc>
        <w:tc>
          <w:tcPr>
            <w:tcW w:w="1761" w:type="dxa"/>
            <w:vMerge w:val="continue"/>
            <w:noWrap/>
            <w:vAlign w:val="center"/>
          </w:tcPr>
          <w:p>
            <w:pPr>
              <w:jc w:val="center"/>
              <w:rPr>
                <w:rFonts w:ascii="宋体" w:hAnsi="宋体" w:cs="宋体"/>
                <w:color w:val="auto"/>
              </w:rPr>
            </w:pPr>
          </w:p>
        </w:tc>
      </w:tr>
    </w:tbl>
    <w:p>
      <w:pPr>
        <w:pStyle w:val="30"/>
        <w:spacing w:line="360" w:lineRule="auto"/>
        <w:rPr>
          <w:rFonts w:ascii="宋体" w:hAnsi="宋体" w:cs="宋体"/>
          <w:color w:val="auto"/>
        </w:rPr>
      </w:pPr>
    </w:p>
    <w:p>
      <w:pPr>
        <w:pStyle w:val="30"/>
        <w:spacing w:line="360" w:lineRule="auto"/>
        <w:rPr>
          <w:rFonts w:ascii="宋体" w:hAnsi="宋体" w:cs="宋体"/>
          <w:b/>
          <w:bCs w:val="0"/>
          <w:color w:val="auto"/>
        </w:rPr>
      </w:pPr>
      <w:r>
        <w:rPr>
          <w:rFonts w:hint="eastAsia" w:ascii="宋体" w:hAnsi="宋体" w:cs="宋体"/>
          <w:b/>
          <w:bCs w:val="0"/>
          <w:color w:val="auto"/>
        </w:rPr>
        <w:t>一、危险化学品使用储存场所安全现状评价和安全技术服务总体要求</w:t>
      </w:r>
    </w:p>
    <w:p>
      <w:pPr>
        <w:pStyle w:val="11"/>
        <w:tabs>
          <w:tab w:val="left" w:pos="540"/>
        </w:tabs>
        <w:autoSpaceDE/>
        <w:autoSpaceDN/>
        <w:snapToGrid w:val="0"/>
        <w:spacing w:line="360" w:lineRule="auto"/>
        <w:ind w:firstLine="422" w:firstLineChars="200"/>
        <w:jc w:val="both"/>
        <w:rPr>
          <w:rFonts w:hAnsi="宋体" w:cs="宋体"/>
          <w:b/>
          <w:color w:val="auto"/>
          <w:sz w:val="21"/>
          <w:szCs w:val="21"/>
        </w:rPr>
      </w:pPr>
      <w:r>
        <w:rPr>
          <w:rFonts w:hint="eastAsia" w:hAnsi="宋体" w:cs="宋体"/>
          <w:b/>
          <w:color w:val="auto"/>
          <w:sz w:val="21"/>
          <w:szCs w:val="21"/>
        </w:rPr>
        <w:t>1.1项目背景</w:t>
      </w:r>
    </w:p>
    <w:p>
      <w:pPr>
        <w:spacing w:line="360" w:lineRule="auto"/>
        <w:ind w:firstLine="420" w:firstLineChars="200"/>
        <w:rPr>
          <w:rFonts w:ascii="宋体" w:hAnsi="宋体" w:cs="宋体"/>
          <w:color w:val="auto"/>
        </w:rPr>
      </w:pPr>
      <w:r>
        <w:rPr>
          <w:rFonts w:hint="eastAsia" w:ascii="宋体" w:hAnsi="宋体" w:cs="宋体"/>
          <w:color w:val="auto"/>
        </w:rPr>
        <w:t>依据《中华人民共和国安全生产法》、《生产安全事故报告和调查处理条例》（国务院令第493号）、《广东省安全生产条例》（广东省第十二届人民代表大会常务委员会公告第94号）及国家和地方的有关法律法规、规范标准要求，为企业生产场所进行辨识与分析生产经营活动中存在的危险、有害因素，审查确定其与安全生产法律法规、规章、标准、规范要求的符合性，预测发生事故或造成职业危害的可能性及其严重程度，提出科学、合理、可行的安全对策措施建议，做出安全现状评价结论，进一步提高企业的安全管理水平。</w:t>
      </w:r>
    </w:p>
    <w:p>
      <w:pPr>
        <w:pStyle w:val="11"/>
        <w:tabs>
          <w:tab w:val="left" w:pos="540"/>
        </w:tabs>
        <w:autoSpaceDE/>
        <w:autoSpaceDN/>
        <w:snapToGrid w:val="0"/>
        <w:spacing w:line="360" w:lineRule="auto"/>
        <w:ind w:firstLine="422" w:firstLineChars="200"/>
        <w:jc w:val="both"/>
        <w:rPr>
          <w:rFonts w:hAnsi="宋体" w:cs="宋体"/>
          <w:b/>
          <w:color w:val="auto"/>
          <w:sz w:val="21"/>
          <w:szCs w:val="21"/>
        </w:rPr>
      </w:pPr>
      <w:r>
        <w:rPr>
          <w:rFonts w:hint="eastAsia" w:hAnsi="宋体" w:cs="宋体"/>
          <w:b/>
          <w:color w:val="auto"/>
          <w:sz w:val="21"/>
          <w:szCs w:val="21"/>
        </w:rPr>
        <w:t>1.2文件依据</w:t>
      </w:r>
    </w:p>
    <w:p>
      <w:pPr>
        <w:spacing w:line="360" w:lineRule="auto"/>
        <w:ind w:firstLine="420" w:firstLineChars="200"/>
        <w:rPr>
          <w:rFonts w:ascii="宋体" w:hAnsi="宋体" w:cs="宋体"/>
          <w:color w:val="auto"/>
        </w:rPr>
      </w:pPr>
      <w:r>
        <w:rPr>
          <w:rFonts w:hint="eastAsia" w:ascii="宋体" w:hAnsi="宋体" w:cs="宋体"/>
          <w:color w:val="auto"/>
        </w:rPr>
        <w:t>1)《中华人民共和国安全生产法》（2021年修正本）</w:t>
      </w:r>
    </w:p>
    <w:p>
      <w:pPr>
        <w:spacing w:line="360" w:lineRule="auto"/>
        <w:ind w:firstLine="420" w:firstLineChars="200"/>
        <w:rPr>
          <w:rFonts w:ascii="宋体" w:hAnsi="宋体" w:cs="宋体"/>
          <w:color w:val="auto"/>
        </w:rPr>
      </w:pPr>
      <w:r>
        <w:rPr>
          <w:rFonts w:hint="eastAsia" w:ascii="宋体" w:hAnsi="宋体" w:cs="宋体"/>
          <w:color w:val="auto"/>
        </w:rPr>
        <w:t>2)《中华人民共和国消防法》（2021年修正本）</w:t>
      </w:r>
    </w:p>
    <w:p>
      <w:pPr>
        <w:spacing w:line="360" w:lineRule="auto"/>
        <w:ind w:firstLine="420" w:firstLineChars="200"/>
        <w:rPr>
          <w:rFonts w:ascii="宋体" w:hAnsi="宋体" w:cs="宋体"/>
          <w:color w:val="auto"/>
        </w:rPr>
      </w:pPr>
      <w:r>
        <w:rPr>
          <w:rFonts w:hint="eastAsia" w:ascii="宋体" w:hAnsi="宋体" w:cs="宋体"/>
          <w:color w:val="auto"/>
        </w:rPr>
        <w:t>3)《中华人民共和国职业病防治法》（2018年修正本）</w:t>
      </w:r>
    </w:p>
    <w:p>
      <w:pPr>
        <w:spacing w:line="360" w:lineRule="auto"/>
        <w:ind w:firstLine="420" w:firstLineChars="200"/>
        <w:rPr>
          <w:rFonts w:ascii="宋体" w:hAnsi="宋体" w:cs="宋体"/>
          <w:color w:val="auto"/>
        </w:rPr>
      </w:pPr>
      <w:r>
        <w:rPr>
          <w:rFonts w:hint="eastAsia" w:ascii="宋体" w:hAnsi="宋体" w:cs="宋体"/>
          <w:color w:val="auto"/>
        </w:rPr>
        <w:t>4)《建设项目安全设施“三同时”监督管理办法》（中华人民共和国国家安全监管总局令第77号）</w:t>
      </w:r>
    </w:p>
    <w:p>
      <w:pPr>
        <w:spacing w:line="360" w:lineRule="auto"/>
        <w:ind w:firstLine="420" w:firstLineChars="200"/>
        <w:rPr>
          <w:rFonts w:ascii="宋体" w:hAnsi="宋体" w:cs="宋体"/>
          <w:color w:val="auto"/>
        </w:rPr>
      </w:pPr>
      <w:r>
        <w:rPr>
          <w:rFonts w:hint="eastAsia" w:ascii="宋体" w:hAnsi="宋体" w:cs="宋体"/>
          <w:color w:val="auto"/>
        </w:rPr>
        <w:t>5)《广东省安全生产条例》（2017年修正本）</w:t>
      </w:r>
    </w:p>
    <w:p>
      <w:pPr>
        <w:spacing w:line="360" w:lineRule="auto"/>
        <w:ind w:firstLine="420" w:firstLineChars="200"/>
        <w:rPr>
          <w:rFonts w:ascii="宋体" w:hAnsi="宋体" w:cs="宋体"/>
          <w:color w:val="auto"/>
        </w:rPr>
      </w:pPr>
      <w:r>
        <w:rPr>
          <w:rFonts w:hint="eastAsia" w:ascii="宋体" w:hAnsi="宋体" w:cs="宋体"/>
          <w:color w:val="auto"/>
        </w:rPr>
        <w:t>6)《建筑设计防火规范（2018版）》（GB50016-2014）</w:t>
      </w:r>
    </w:p>
    <w:p>
      <w:pPr>
        <w:spacing w:line="360" w:lineRule="auto"/>
        <w:ind w:firstLine="420" w:firstLineChars="200"/>
        <w:rPr>
          <w:rFonts w:ascii="宋体" w:hAnsi="宋体" w:cs="宋体"/>
          <w:color w:val="auto"/>
        </w:rPr>
      </w:pPr>
      <w:r>
        <w:rPr>
          <w:rFonts w:hint="eastAsia" w:ascii="宋体" w:hAnsi="宋体" w:cs="宋体"/>
          <w:color w:val="auto"/>
        </w:rPr>
        <w:t>7)《建筑物防雷设计规范》（GB50057-2010）</w:t>
      </w:r>
    </w:p>
    <w:p>
      <w:pPr>
        <w:spacing w:line="360" w:lineRule="auto"/>
        <w:ind w:firstLine="420" w:firstLineChars="200"/>
        <w:rPr>
          <w:rFonts w:ascii="宋体" w:hAnsi="宋体" w:cs="宋体"/>
          <w:color w:val="auto"/>
        </w:rPr>
      </w:pPr>
      <w:r>
        <w:rPr>
          <w:rFonts w:hint="eastAsia" w:ascii="宋体" w:hAnsi="宋体" w:cs="宋体"/>
          <w:color w:val="auto"/>
        </w:rPr>
        <w:t>8)《建筑抗震设计规范（2016年版）》（GB50011-2010）</w:t>
      </w:r>
    </w:p>
    <w:p>
      <w:pPr>
        <w:spacing w:line="360" w:lineRule="auto"/>
        <w:ind w:firstLine="420" w:firstLineChars="200"/>
        <w:rPr>
          <w:rFonts w:ascii="宋体" w:hAnsi="宋体" w:cs="宋体"/>
          <w:color w:val="auto"/>
        </w:rPr>
      </w:pPr>
      <w:r>
        <w:rPr>
          <w:rFonts w:hint="eastAsia" w:ascii="宋体" w:hAnsi="宋体" w:cs="宋体"/>
          <w:color w:val="auto"/>
        </w:rPr>
        <w:t>9)《建筑灭火器配置设计规范》（GB50140-2005）</w:t>
      </w:r>
    </w:p>
    <w:p>
      <w:pPr>
        <w:spacing w:line="360" w:lineRule="auto"/>
        <w:ind w:firstLine="420" w:firstLineChars="200"/>
        <w:rPr>
          <w:rFonts w:ascii="宋体" w:hAnsi="宋体" w:cs="宋体"/>
          <w:color w:val="auto"/>
        </w:rPr>
      </w:pPr>
      <w:r>
        <w:rPr>
          <w:rFonts w:hint="eastAsia" w:ascii="宋体" w:hAnsi="宋体" w:cs="宋体"/>
          <w:color w:val="auto"/>
        </w:rPr>
        <w:t>10)《工作场所有害因素职业接触限值第1部分：化学有害因素（GBZ2.1-2019）</w:t>
      </w:r>
    </w:p>
    <w:p>
      <w:pPr>
        <w:spacing w:line="360" w:lineRule="auto"/>
        <w:ind w:firstLine="420" w:firstLineChars="200"/>
        <w:rPr>
          <w:rFonts w:ascii="宋体" w:hAnsi="宋体" w:cs="宋体"/>
          <w:color w:val="auto"/>
        </w:rPr>
      </w:pPr>
      <w:r>
        <w:rPr>
          <w:rFonts w:hint="eastAsia" w:ascii="宋体" w:hAnsi="宋体" w:cs="宋体"/>
          <w:color w:val="auto"/>
        </w:rPr>
        <w:t>11)《工作场所有害因素职业接触限值第2部分：物理因素》（GBZ2.2-2007）</w:t>
      </w:r>
    </w:p>
    <w:p>
      <w:pPr>
        <w:spacing w:line="360" w:lineRule="auto"/>
        <w:ind w:firstLine="420" w:firstLineChars="200"/>
        <w:rPr>
          <w:rFonts w:ascii="宋体" w:hAnsi="宋体" w:cs="宋体"/>
          <w:color w:val="auto"/>
        </w:rPr>
      </w:pPr>
      <w:r>
        <w:rPr>
          <w:rFonts w:hint="eastAsia" w:ascii="宋体" w:hAnsi="宋体" w:cs="宋体"/>
          <w:color w:val="auto"/>
        </w:rPr>
        <w:t>12)《安全预评价导则》（AQ8002-2007）</w:t>
      </w:r>
    </w:p>
    <w:p>
      <w:pPr>
        <w:spacing w:line="360" w:lineRule="auto"/>
        <w:ind w:firstLine="420" w:firstLineChars="200"/>
        <w:rPr>
          <w:rFonts w:ascii="宋体" w:hAnsi="宋体" w:cs="宋体"/>
          <w:color w:val="auto"/>
          <w:szCs w:val="21"/>
        </w:rPr>
      </w:pPr>
      <w:r>
        <w:rPr>
          <w:rFonts w:hint="eastAsia" w:ascii="宋体" w:hAnsi="宋体" w:cs="宋体"/>
          <w:color w:val="auto"/>
          <w:szCs w:val="21"/>
        </w:rPr>
        <w:t>13)如有最新政策及规定，按照最新规范执行。</w:t>
      </w:r>
    </w:p>
    <w:p>
      <w:pPr>
        <w:pStyle w:val="11"/>
        <w:tabs>
          <w:tab w:val="left" w:pos="540"/>
        </w:tabs>
        <w:autoSpaceDE/>
        <w:autoSpaceDN/>
        <w:snapToGrid w:val="0"/>
        <w:spacing w:line="360" w:lineRule="auto"/>
        <w:ind w:firstLine="422" w:firstLineChars="200"/>
        <w:jc w:val="both"/>
        <w:rPr>
          <w:rFonts w:hAnsi="宋体" w:cs="宋体"/>
          <w:b/>
          <w:color w:val="auto"/>
          <w:sz w:val="21"/>
          <w:szCs w:val="21"/>
        </w:rPr>
      </w:pPr>
      <w:r>
        <w:rPr>
          <w:rFonts w:hint="eastAsia" w:hAnsi="宋体" w:cs="宋体"/>
          <w:b/>
          <w:color w:val="auto"/>
          <w:sz w:val="21"/>
          <w:szCs w:val="21"/>
        </w:rPr>
        <w:t>1.3服务范围</w:t>
      </w:r>
    </w:p>
    <w:p>
      <w:pPr>
        <w:spacing w:line="360" w:lineRule="auto"/>
        <w:ind w:firstLine="420" w:firstLineChars="200"/>
        <w:rPr>
          <w:rFonts w:ascii="宋体" w:hAnsi="宋体" w:cs="宋体"/>
          <w:color w:val="auto"/>
          <w:szCs w:val="21"/>
        </w:rPr>
      </w:pPr>
      <w:r>
        <w:rPr>
          <w:rFonts w:hint="eastAsia" w:ascii="宋体" w:hAnsi="宋体" w:cs="宋体"/>
          <w:color w:val="auto"/>
          <w:szCs w:val="21"/>
        </w:rPr>
        <w:t>对位于花都区农产品质量安全监督检测中心危险化学品使用储存场所、气体室进行安全现状评价及提供安全技术服务咨询。</w:t>
      </w:r>
    </w:p>
    <w:p>
      <w:pPr>
        <w:pStyle w:val="11"/>
        <w:tabs>
          <w:tab w:val="left" w:pos="540"/>
        </w:tabs>
        <w:autoSpaceDE/>
        <w:autoSpaceDN/>
        <w:snapToGrid w:val="0"/>
        <w:spacing w:line="360" w:lineRule="auto"/>
        <w:ind w:firstLine="422" w:firstLineChars="200"/>
        <w:jc w:val="both"/>
        <w:rPr>
          <w:rFonts w:hAnsi="宋体" w:cs="宋体"/>
          <w:b/>
          <w:color w:val="auto"/>
          <w:sz w:val="21"/>
          <w:szCs w:val="21"/>
        </w:rPr>
      </w:pPr>
      <w:r>
        <w:rPr>
          <w:rFonts w:hint="eastAsia" w:hAnsi="宋体" w:cs="宋体"/>
          <w:b/>
          <w:color w:val="auto"/>
          <w:sz w:val="21"/>
          <w:szCs w:val="21"/>
        </w:rPr>
        <w:t>1.4安全评价服务和安全技术服务要求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1.4.1安全评价服务</w:t>
      </w:r>
    </w:p>
    <w:p>
      <w:pPr>
        <w:spacing w:line="360" w:lineRule="auto"/>
        <w:ind w:firstLine="630" w:firstLineChars="300"/>
        <w:rPr>
          <w:rFonts w:ascii="宋体" w:hAnsi="宋体" w:cs="宋体"/>
          <w:color w:val="auto"/>
          <w:szCs w:val="21"/>
        </w:rPr>
      </w:pPr>
      <w:r>
        <w:rPr>
          <w:rFonts w:hint="eastAsia" w:ascii="宋体" w:hAnsi="宋体" w:cs="宋体"/>
          <w:color w:val="auto"/>
          <w:szCs w:val="21"/>
        </w:rPr>
        <w:t>1）前期准备：收集安全评价所需的资料、有关证照。</w:t>
      </w:r>
    </w:p>
    <w:p>
      <w:pPr>
        <w:spacing w:line="360" w:lineRule="auto"/>
        <w:ind w:firstLine="630" w:firstLineChars="300"/>
        <w:rPr>
          <w:rFonts w:ascii="宋体" w:hAnsi="宋体" w:cs="宋体"/>
          <w:color w:val="auto"/>
          <w:szCs w:val="21"/>
        </w:rPr>
      </w:pPr>
      <w:r>
        <w:rPr>
          <w:rFonts w:hint="eastAsia" w:ascii="宋体" w:hAnsi="宋体" w:cs="宋体"/>
          <w:color w:val="auto"/>
          <w:szCs w:val="21"/>
        </w:rPr>
        <w:t>2）危险、有害因素的辨识：根据被评价单位的经营情况，对所经营危险化学品的特性，以及在经营过程中涉及的危险有害因素进行辨识。</w:t>
      </w:r>
    </w:p>
    <w:p>
      <w:pPr>
        <w:spacing w:line="360" w:lineRule="auto"/>
        <w:ind w:firstLine="630" w:firstLineChars="300"/>
        <w:rPr>
          <w:rFonts w:ascii="宋体" w:hAnsi="宋体" w:cs="宋体"/>
          <w:color w:val="auto"/>
          <w:szCs w:val="21"/>
        </w:rPr>
      </w:pPr>
      <w:r>
        <w:rPr>
          <w:rFonts w:hint="eastAsia" w:ascii="宋体" w:hAnsi="宋体" w:cs="宋体"/>
          <w:color w:val="auto"/>
          <w:szCs w:val="21"/>
        </w:rPr>
        <w:t>3）定性、定量评价：根据《危险化学品经营许可证管理办法》、《关于印发&lt;危险化学品经营单位安全评价导则(试行)&gt;的通知》等法律、法规，对被评价单位的经营（生产）条件进行评价。</w:t>
      </w:r>
    </w:p>
    <w:p>
      <w:pPr>
        <w:spacing w:line="360" w:lineRule="auto"/>
        <w:ind w:firstLine="630" w:firstLineChars="300"/>
        <w:rPr>
          <w:rFonts w:ascii="宋体" w:hAnsi="宋体" w:cs="宋体"/>
          <w:color w:val="auto"/>
          <w:szCs w:val="21"/>
        </w:rPr>
      </w:pPr>
      <w:r>
        <w:rPr>
          <w:rFonts w:hint="eastAsia" w:ascii="宋体" w:hAnsi="宋体" w:cs="宋体"/>
          <w:color w:val="auto"/>
          <w:szCs w:val="21"/>
        </w:rPr>
        <w:t>4）提出安全对策措施：在以上分析、评价的基础上，针对本项目存在的实际情况和存在的事故隐患，提出合理可行的安全对策措施和建议，督促被评价单位完成整改并进行复查。</w:t>
      </w:r>
    </w:p>
    <w:p>
      <w:pPr>
        <w:spacing w:line="360" w:lineRule="auto"/>
        <w:ind w:firstLine="630" w:firstLineChars="300"/>
        <w:rPr>
          <w:rFonts w:ascii="宋体" w:hAnsi="宋体" w:cs="宋体"/>
          <w:color w:val="auto"/>
          <w:szCs w:val="21"/>
        </w:rPr>
      </w:pPr>
      <w:r>
        <w:rPr>
          <w:rFonts w:hint="eastAsia" w:ascii="宋体" w:hAnsi="宋体" w:cs="宋体"/>
          <w:color w:val="auto"/>
          <w:szCs w:val="21"/>
        </w:rPr>
        <w:t>5）作出安全评价结论，编制完成安全评价报告：汇总前几个阶段所得出的数据和资料，做出评价结论，编制完成安全评价报告。</w:t>
      </w:r>
    </w:p>
    <w:p>
      <w:pPr>
        <w:pStyle w:val="2"/>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1.4.2安全技术服务</w:t>
      </w:r>
    </w:p>
    <w:p>
      <w:pPr>
        <w:pStyle w:val="2"/>
        <w:spacing w:line="360" w:lineRule="auto"/>
        <w:ind w:firstLine="630" w:firstLineChars="300"/>
        <w:rPr>
          <w:rFonts w:ascii="宋体" w:hAnsi="宋体" w:cs="宋体"/>
          <w:color w:val="auto"/>
          <w:sz w:val="21"/>
          <w:szCs w:val="21"/>
        </w:rPr>
      </w:pPr>
      <w:r>
        <w:rPr>
          <w:rFonts w:hint="eastAsia" w:ascii="宋体" w:hAnsi="宋体" w:cs="宋体"/>
          <w:color w:val="auto"/>
          <w:sz w:val="21"/>
          <w:szCs w:val="21"/>
        </w:rPr>
        <w:t>1）对检查发现的事故隐患，向招标人提出书面安全对策措施与建议；</w:t>
      </w:r>
    </w:p>
    <w:p>
      <w:pPr>
        <w:pStyle w:val="2"/>
        <w:spacing w:line="360" w:lineRule="auto"/>
        <w:ind w:firstLine="630" w:firstLineChars="300"/>
        <w:rPr>
          <w:rFonts w:ascii="宋体" w:hAnsi="宋体" w:cs="宋体"/>
          <w:color w:val="auto"/>
          <w:sz w:val="21"/>
          <w:szCs w:val="21"/>
        </w:rPr>
      </w:pPr>
      <w:r>
        <w:rPr>
          <w:rFonts w:hint="eastAsia" w:ascii="宋体" w:hAnsi="宋体" w:cs="宋体"/>
          <w:color w:val="auto"/>
          <w:sz w:val="21"/>
          <w:szCs w:val="21"/>
        </w:rPr>
        <w:t>2）对招标人该次安全（生产）整改过程遇到的问题提供技术咨询服务；</w:t>
      </w:r>
    </w:p>
    <w:p>
      <w:pPr>
        <w:pStyle w:val="2"/>
        <w:spacing w:line="360" w:lineRule="auto"/>
        <w:ind w:firstLine="630" w:firstLineChars="300"/>
        <w:rPr>
          <w:rFonts w:ascii="宋体" w:hAnsi="宋体" w:cs="宋体"/>
          <w:color w:val="auto"/>
          <w:sz w:val="21"/>
          <w:szCs w:val="21"/>
        </w:rPr>
      </w:pPr>
      <w:r>
        <w:rPr>
          <w:rFonts w:hint="eastAsia" w:ascii="宋体" w:hAnsi="宋体" w:cs="宋体"/>
          <w:color w:val="auto"/>
          <w:sz w:val="21"/>
          <w:szCs w:val="21"/>
        </w:rPr>
        <w:t>3）完善相关的生产安全事故应急预案，指导招标人完善安全管理网络、安全生产台帐和相关的安全操作规程。</w:t>
      </w:r>
    </w:p>
    <w:p>
      <w:pPr>
        <w:pStyle w:val="2"/>
        <w:spacing w:line="360" w:lineRule="auto"/>
        <w:ind w:firstLine="630" w:firstLineChars="300"/>
        <w:rPr>
          <w:rFonts w:ascii="宋体" w:hAnsi="宋体" w:cs="宋体"/>
          <w:color w:val="auto"/>
          <w:sz w:val="21"/>
          <w:szCs w:val="21"/>
        </w:rPr>
      </w:pPr>
      <w:r>
        <w:rPr>
          <w:rFonts w:hint="eastAsia" w:ascii="宋体" w:hAnsi="宋体" w:cs="宋体"/>
          <w:color w:val="auto"/>
          <w:sz w:val="21"/>
          <w:szCs w:val="21"/>
        </w:rPr>
        <w:t>4）邀请专家对招标人相关的工作人员进行一次安全培训，主要宣讲安全手册和安全知识。</w:t>
      </w:r>
    </w:p>
    <w:p>
      <w:pPr>
        <w:pStyle w:val="2"/>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1.4.3人员要求</w:t>
      </w:r>
    </w:p>
    <w:p>
      <w:pPr>
        <w:pStyle w:val="2"/>
        <w:spacing w:line="360" w:lineRule="auto"/>
        <w:ind w:firstLine="630" w:firstLineChars="300"/>
        <w:rPr>
          <w:rFonts w:ascii="宋体" w:hAnsi="宋体" w:cs="宋体"/>
          <w:color w:val="auto"/>
          <w:sz w:val="21"/>
          <w:szCs w:val="21"/>
        </w:rPr>
      </w:pPr>
      <w:r>
        <w:rPr>
          <w:rFonts w:hint="eastAsia" w:ascii="宋体" w:hAnsi="宋体" w:cs="宋体"/>
          <w:color w:val="auto"/>
          <w:sz w:val="21"/>
          <w:szCs w:val="21"/>
        </w:rPr>
        <w:t>1)应配备不少于3名注册安全评价师或相关专业工程师。</w:t>
      </w:r>
    </w:p>
    <w:p>
      <w:pPr>
        <w:pStyle w:val="30"/>
        <w:spacing w:line="360" w:lineRule="auto"/>
        <w:jc w:val="both"/>
        <w:rPr>
          <w:rFonts w:ascii="宋体" w:hAnsi="宋体" w:cs="宋体"/>
          <w:b/>
          <w:bCs w:val="0"/>
          <w:color w:val="auto"/>
          <w:sz w:val="21"/>
          <w:szCs w:val="21"/>
        </w:rPr>
      </w:pPr>
      <w:r>
        <w:rPr>
          <w:rFonts w:hint="eastAsia" w:ascii="宋体" w:hAnsi="宋体" w:cs="宋体"/>
          <w:b/>
          <w:bCs w:val="0"/>
          <w:color w:val="auto"/>
          <w:sz w:val="21"/>
          <w:szCs w:val="21"/>
        </w:rPr>
        <w:t>二、职业病危害因素检测总体要求</w:t>
      </w:r>
    </w:p>
    <w:p>
      <w:pPr>
        <w:pStyle w:val="11"/>
        <w:tabs>
          <w:tab w:val="left" w:pos="540"/>
        </w:tabs>
        <w:autoSpaceDE/>
        <w:autoSpaceDN/>
        <w:snapToGrid w:val="0"/>
        <w:spacing w:line="360" w:lineRule="auto"/>
        <w:ind w:firstLine="422" w:firstLineChars="200"/>
        <w:jc w:val="both"/>
        <w:rPr>
          <w:rFonts w:hAnsi="宋体" w:cs="宋体"/>
          <w:b/>
          <w:color w:val="auto"/>
          <w:sz w:val="21"/>
          <w:szCs w:val="21"/>
        </w:rPr>
      </w:pPr>
      <w:r>
        <w:rPr>
          <w:rFonts w:hint="eastAsia" w:hAnsi="宋体" w:cs="宋体"/>
          <w:b/>
          <w:color w:val="auto"/>
          <w:sz w:val="21"/>
          <w:szCs w:val="21"/>
        </w:rPr>
        <w:t xml:space="preserve">1.1职业病危害因素检测依据 </w:t>
      </w:r>
    </w:p>
    <w:p>
      <w:pPr>
        <w:snapToGrid w:val="0"/>
        <w:spacing w:line="360" w:lineRule="auto"/>
        <w:ind w:firstLine="444" w:firstLineChars="200"/>
        <w:rPr>
          <w:rFonts w:ascii="宋体" w:hAnsi="宋体" w:cs="宋体"/>
          <w:color w:val="auto"/>
          <w:spacing w:val="6"/>
          <w:szCs w:val="21"/>
        </w:rPr>
      </w:pPr>
      <w:r>
        <w:rPr>
          <w:rFonts w:hint="eastAsia" w:ascii="宋体" w:hAnsi="宋体" w:cs="宋体"/>
          <w:color w:val="auto"/>
          <w:spacing w:val="6"/>
          <w:szCs w:val="21"/>
        </w:rPr>
        <w:t>1）《中华人民共和国职业病防治法》（2018年修正，中华人民共和国主席令第24号）</w:t>
      </w:r>
    </w:p>
    <w:p>
      <w:pPr>
        <w:snapToGrid w:val="0"/>
        <w:spacing w:line="360" w:lineRule="auto"/>
        <w:ind w:firstLine="444" w:firstLineChars="200"/>
        <w:rPr>
          <w:rFonts w:ascii="宋体" w:hAnsi="宋体" w:cs="宋体"/>
          <w:color w:val="auto"/>
          <w:spacing w:val="6"/>
          <w:szCs w:val="21"/>
        </w:rPr>
      </w:pPr>
      <w:r>
        <w:rPr>
          <w:rFonts w:hint="eastAsia" w:ascii="宋体" w:hAnsi="宋体" w:cs="宋体"/>
          <w:color w:val="auto"/>
          <w:spacing w:val="6"/>
          <w:szCs w:val="21"/>
        </w:rPr>
        <w:t>2）《工业企业设计卫生标准》（GBZ 1—2010）</w:t>
      </w:r>
    </w:p>
    <w:p>
      <w:pPr>
        <w:snapToGrid w:val="0"/>
        <w:spacing w:line="360" w:lineRule="auto"/>
        <w:ind w:firstLine="444" w:firstLineChars="200"/>
        <w:rPr>
          <w:rFonts w:ascii="宋体" w:hAnsi="宋体" w:cs="宋体"/>
          <w:color w:val="auto"/>
          <w:spacing w:val="6"/>
          <w:szCs w:val="21"/>
        </w:rPr>
      </w:pPr>
      <w:r>
        <w:rPr>
          <w:rFonts w:hint="eastAsia" w:ascii="宋体" w:hAnsi="宋体" w:cs="宋体"/>
          <w:color w:val="auto"/>
          <w:spacing w:val="6"/>
          <w:szCs w:val="21"/>
        </w:rPr>
        <w:t>3）《工作场所有害因素职业接触限值 第1部分：化学有害因素》（GBZ 2.1—2019）</w:t>
      </w:r>
    </w:p>
    <w:p>
      <w:pPr>
        <w:snapToGrid w:val="0"/>
        <w:spacing w:line="360" w:lineRule="auto"/>
        <w:ind w:firstLine="444" w:firstLineChars="200"/>
        <w:rPr>
          <w:rFonts w:ascii="宋体" w:hAnsi="宋体" w:cs="宋体"/>
          <w:color w:val="auto"/>
          <w:spacing w:val="6"/>
          <w:szCs w:val="21"/>
        </w:rPr>
      </w:pPr>
      <w:r>
        <w:rPr>
          <w:rFonts w:hint="eastAsia" w:ascii="宋体" w:hAnsi="宋体" w:cs="宋体"/>
          <w:color w:val="auto"/>
          <w:spacing w:val="6"/>
          <w:szCs w:val="21"/>
        </w:rPr>
        <w:t>4）《工作场所有害因素职业接触限值 第2部分：物理有害因素》（GBZ 2.2—2007）</w:t>
      </w:r>
    </w:p>
    <w:p>
      <w:pPr>
        <w:pStyle w:val="11"/>
        <w:tabs>
          <w:tab w:val="left" w:pos="540"/>
        </w:tabs>
        <w:autoSpaceDE/>
        <w:autoSpaceDN/>
        <w:snapToGrid w:val="0"/>
        <w:spacing w:line="360" w:lineRule="auto"/>
        <w:ind w:firstLine="422" w:firstLineChars="200"/>
        <w:jc w:val="both"/>
        <w:rPr>
          <w:rFonts w:hAnsi="宋体" w:cs="宋体"/>
          <w:b/>
          <w:color w:val="auto"/>
          <w:sz w:val="21"/>
          <w:szCs w:val="21"/>
        </w:rPr>
      </w:pPr>
      <w:r>
        <w:rPr>
          <w:rFonts w:hint="eastAsia" w:hAnsi="宋体" w:cs="宋体"/>
          <w:b/>
          <w:color w:val="auto"/>
          <w:sz w:val="21"/>
          <w:szCs w:val="21"/>
        </w:rPr>
        <w:t>1.2职业病危害因素检测内容</w:t>
      </w:r>
    </w:p>
    <w:p>
      <w:pPr>
        <w:snapToGrid w:val="0"/>
        <w:spacing w:line="360" w:lineRule="auto"/>
        <w:ind w:firstLine="444" w:firstLineChars="200"/>
        <w:rPr>
          <w:rFonts w:ascii="宋体" w:hAnsi="宋体" w:cs="宋体"/>
          <w:color w:val="auto"/>
          <w:spacing w:val="6"/>
          <w:szCs w:val="21"/>
        </w:rPr>
      </w:pPr>
      <w:r>
        <w:rPr>
          <w:rFonts w:hint="eastAsia" w:ascii="宋体" w:hAnsi="宋体" w:cs="宋体"/>
          <w:color w:val="auto"/>
          <w:spacing w:val="6"/>
          <w:szCs w:val="21"/>
        </w:rPr>
        <w:t>本次现场检测项目包括但不限于：</w:t>
      </w:r>
    </w:p>
    <w:p>
      <w:pPr>
        <w:snapToGrid w:val="0"/>
        <w:spacing w:line="360" w:lineRule="auto"/>
        <w:ind w:firstLine="444" w:firstLineChars="200"/>
        <w:rPr>
          <w:rFonts w:ascii="宋体" w:hAnsi="宋体" w:cs="宋体"/>
          <w:color w:val="auto"/>
          <w:spacing w:val="6"/>
          <w:szCs w:val="21"/>
        </w:rPr>
      </w:pPr>
      <w:r>
        <w:rPr>
          <w:rFonts w:hint="eastAsia" w:ascii="宋体" w:hAnsi="宋体" w:cs="宋体"/>
          <w:color w:val="auto"/>
          <w:spacing w:val="6"/>
          <w:szCs w:val="21"/>
        </w:rPr>
        <w:t>1）物理因素；</w:t>
      </w:r>
    </w:p>
    <w:p>
      <w:pPr>
        <w:snapToGrid w:val="0"/>
        <w:spacing w:line="360" w:lineRule="auto"/>
        <w:ind w:firstLine="444" w:firstLineChars="200"/>
        <w:rPr>
          <w:rFonts w:ascii="宋体" w:hAnsi="宋体" w:cs="宋体"/>
          <w:color w:val="auto"/>
          <w:spacing w:val="6"/>
          <w:szCs w:val="21"/>
        </w:rPr>
      </w:pPr>
      <w:r>
        <w:rPr>
          <w:rFonts w:hint="eastAsia" w:ascii="宋体" w:hAnsi="宋体" w:cs="宋体"/>
          <w:color w:val="auto"/>
          <w:spacing w:val="6"/>
          <w:szCs w:val="21"/>
        </w:rPr>
        <w:t>2）化学因素等。</w:t>
      </w:r>
    </w:p>
    <w:p>
      <w:pPr>
        <w:pStyle w:val="11"/>
        <w:tabs>
          <w:tab w:val="left" w:pos="540"/>
        </w:tabs>
        <w:autoSpaceDE/>
        <w:autoSpaceDN/>
        <w:snapToGrid w:val="0"/>
        <w:spacing w:line="360" w:lineRule="auto"/>
        <w:ind w:firstLine="422" w:firstLineChars="200"/>
        <w:jc w:val="both"/>
        <w:rPr>
          <w:rFonts w:hAnsi="宋体" w:cs="宋体"/>
          <w:b/>
          <w:color w:val="auto"/>
          <w:sz w:val="21"/>
          <w:szCs w:val="21"/>
        </w:rPr>
      </w:pPr>
      <w:r>
        <w:rPr>
          <w:rFonts w:hint="eastAsia" w:hAnsi="宋体" w:cs="宋体"/>
          <w:b/>
          <w:color w:val="auto"/>
          <w:sz w:val="21"/>
          <w:szCs w:val="21"/>
        </w:rPr>
        <w:t>1.3职业病危害因素检测工作程序要求</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项目委托→现场调查→检测方案制定→检测前→现场采样、现场检测→实验室检测→数据处理→报告编制→报告审核签发。</w:t>
      </w:r>
    </w:p>
    <w:p>
      <w:pPr>
        <w:pStyle w:val="11"/>
        <w:tabs>
          <w:tab w:val="left" w:pos="540"/>
        </w:tabs>
        <w:autoSpaceDE/>
        <w:autoSpaceDN/>
        <w:snapToGrid w:val="0"/>
        <w:spacing w:line="360" w:lineRule="auto"/>
        <w:ind w:firstLine="422" w:firstLineChars="200"/>
        <w:jc w:val="both"/>
        <w:rPr>
          <w:rFonts w:hAnsi="宋体" w:cs="宋体"/>
          <w:b/>
          <w:color w:val="auto"/>
          <w:sz w:val="21"/>
          <w:szCs w:val="21"/>
        </w:rPr>
      </w:pPr>
      <w:r>
        <w:rPr>
          <w:rFonts w:hint="eastAsia" w:hAnsi="宋体" w:cs="宋体"/>
          <w:b/>
          <w:color w:val="auto"/>
          <w:sz w:val="21"/>
          <w:szCs w:val="21"/>
        </w:rPr>
        <w:t>1.4完成时间要求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在检测进场后，30个工作日内交付检测报告</w:t>
      </w:r>
    </w:p>
    <w:p>
      <w:pPr>
        <w:pStyle w:val="11"/>
        <w:tabs>
          <w:tab w:val="left" w:pos="540"/>
        </w:tabs>
        <w:autoSpaceDE/>
        <w:autoSpaceDN/>
        <w:snapToGrid w:val="0"/>
        <w:spacing w:line="360" w:lineRule="auto"/>
        <w:jc w:val="both"/>
        <w:rPr>
          <w:rFonts w:hAnsi="宋体" w:cs="宋体"/>
          <w:b/>
          <w:color w:val="auto"/>
          <w:sz w:val="21"/>
          <w:szCs w:val="21"/>
        </w:rPr>
      </w:pPr>
      <w:r>
        <w:rPr>
          <w:rFonts w:hint="eastAsia" w:hAnsi="宋体" w:cs="宋体"/>
          <w:b/>
          <w:color w:val="auto"/>
          <w:sz w:val="21"/>
          <w:szCs w:val="21"/>
        </w:rPr>
        <w:t>三、付款方式</w:t>
      </w:r>
    </w:p>
    <w:p>
      <w:pPr>
        <w:spacing w:line="360" w:lineRule="auto"/>
        <w:ind w:firstLine="420" w:firstLineChars="200"/>
        <w:rPr>
          <w:rFonts w:ascii="宋体" w:hAnsi="宋体" w:cs="宋体"/>
          <w:color w:val="auto"/>
          <w:szCs w:val="21"/>
        </w:rPr>
      </w:pPr>
      <w:r>
        <w:rPr>
          <w:rFonts w:hint="eastAsia" w:ascii="宋体" w:hAnsi="宋体" w:cs="宋体"/>
          <w:color w:val="auto"/>
          <w:szCs w:val="21"/>
        </w:rPr>
        <w:t>1.招标人按以下方式向成交人支付费用：</w:t>
      </w:r>
    </w:p>
    <w:p>
      <w:pPr>
        <w:spacing w:line="360" w:lineRule="auto"/>
        <w:ind w:firstLine="420" w:firstLineChars="200"/>
        <w:rPr>
          <w:rFonts w:ascii="宋体" w:hAnsi="宋体" w:cs="宋体"/>
          <w:color w:val="auto"/>
          <w:szCs w:val="21"/>
        </w:rPr>
      </w:pPr>
      <w:r>
        <w:rPr>
          <w:rFonts w:hint="eastAsia" w:ascii="宋体" w:hAnsi="宋体" w:cs="宋体"/>
          <w:color w:val="auto"/>
          <w:szCs w:val="21"/>
        </w:rPr>
        <w:t>（1）签订合同后10个工作日内，招标人凭成交人开具的等额合法的增值税专用发票，支付合同首期款50%；项目完成并经招标人验收确认后10个工作日内，招标人凭成交人开具的等额合法的增值税专用发票，支付合同余款。</w:t>
      </w:r>
    </w:p>
    <w:p>
      <w:pPr>
        <w:pStyle w:val="41"/>
        <w:spacing w:line="360" w:lineRule="auto"/>
        <w:rPr>
          <w:rFonts w:ascii="宋体" w:hAnsi="宋体" w:cs="宋体"/>
          <w:color w:val="auto"/>
          <w:sz w:val="21"/>
          <w:szCs w:val="21"/>
        </w:rPr>
      </w:pPr>
      <w:r>
        <w:rPr>
          <w:rFonts w:hint="eastAsia" w:ascii="宋体" w:hAnsi="宋体" w:cs="宋体"/>
          <w:bCs/>
          <w:color w:val="auto"/>
          <w:kern w:val="21"/>
          <w:sz w:val="21"/>
          <w:szCs w:val="21"/>
        </w:rPr>
        <w:t>2.因招标人使用的是财政资金，按照前款规定的付款时间，招标人在收到成交人发票后5个工作日内向政府支付部门提出办理财政支付申请手续（不含政府财政支付部门审核的时间），在规定时间内提出支付申请手续后即视为招标人已经按期支付。</w:t>
      </w:r>
    </w:p>
    <w:p>
      <w:pPr>
        <w:spacing w:line="360" w:lineRule="auto"/>
        <w:jc w:val="center"/>
        <w:rPr>
          <w:rFonts w:ascii="宋体" w:hAnsi="宋体" w:cs="宋体"/>
          <w:b/>
          <w:bCs/>
          <w:color w:val="auto"/>
          <w:sz w:val="28"/>
          <w:szCs w:val="28"/>
        </w:rPr>
      </w:pPr>
    </w:p>
    <w:p>
      <w:pPr>
        <w:spacing w:line="360" w:lineRule="auto"/>
        <w:jc w:val="center"/>
        <w:rPr>
          <w:rFonts w:ascii="宋体" w:hAnsi="宋体" w:cs="宋体"/>
          <w:b/>
          <w:bCs/>
          <w:color w:val="auto"/>
          <w:sz w:val="28"/>
          <w:szCs w:val="28"/>
        </w:rPr>
      </w:pPr>
    </w:p>
    <w:p>
      <w:pPr>
        <w:spacing w:line="360" w:lineRule="auto"/>
        <w:jc w:val="center"/>
        <w:rPr>
          <w:rFonts w:ascii="宋体" w:hAnsi="宋体" w:cs="宋体"/>
          <w:b/>
          <w:bCs/>
          <w:color w:val="auto"/>
          <w:sz w:val="28"/>
          <w:szCs w:val="28"/>
        </w:rPr>
      </w:pPr>
    </w:p>
    <w:p>
      <w:pPr>
        <w:spacing w:line="360" w:lineRule="auto"/>
        <w:jc w:val="center"/>
        <w:rPr>
          <w:rFonts w:ascii="宋体" w:hAnsi="宋体" w:cs="宋体"/>
          <w:b/>
          <w:bCs/>
          <w:color w:val="auto"/>
          <w:sz w:val="28"/>
          <w:szCs w:val="28"/>
        </w:rPr>
      </w:pPr>
    </w:p>
    <w:p>
      <w:pPr>
        <w:spacing w:line="360" w:lineRule="auto"/>
        <w:jc w:val="center"/>
        <w:rPr>
          <w:rFonts w:ascii="宋体" w:hAnsi="宋体" w:cs="宋体"/>
          <w:b/>
          <w:bCs/>
          <w:color w:val="auto"/>
          <w:sz w:val="28"/>
          <w:szCs w:val="28"/>
        </w:rPr>
      </w:pPr>
    </w:p>
    <w:p>
      <w:pPr>
        <w:spacing w:line="360" w:lineRule="auto"/>
        <w:jc w:val="center"/>
        <w:rPr>
          <w:rFonts w:ascii="宋体" w:hAnsi="宋体" w:cs="宋体"/>
          <w:b/>
          <w:bCs/>
          <w:color w:val="auto"/>
          <w:sz w:val="28"/>
          <w:szCs w:val="28"/>
        </w:rPr>
      </w:pPr>
    </w:p>
    <w:p>
      <w:pPr>
        <w:spacing w:line="360" w:lineRule="auto"/>
        <w:jc w:val="center"/>
        <w:rPr>
          <w:rFonts w:ascii="宋体" w:hAnsi="宋体" w:cs="宋体"/>
          <w:b/>
          <w:bCs/>
          <w:color w:val="auto"/>
          <w:sz w:val="28"/>
          <w:szCs w:val="28"/>
        </w:rPr>
      </w:pPr>
    </w:p>
    <w:p>
      <w:pPr>
        <w:spacing w:line="360" w:lineRule="auto"/>
        <w:jc w:val="center"/>
        <w:rPr>
          <w:rFonts w:ascii="宋体" w:hAnsi="宋体" w:cs="宋体"/>
          <w:b/>
          <w:bCs/>
          <w:color w:val="auto"/>
          <w:sz w:val="28"/>
          <w:szCs w:val="28"/>
        </w:rPr>
      </w:pPr>
    </w:p>
    <w:p>
      <w:pPr>
        <w:spacing w:line="360" w:lineRule="auto"/>
        <w:jc w:val="center"/>
        <w:rPr>
          <w:rFonts w:ascii="宋体" w:hAnsi="宋体" w:cs="宋体"/>
          <w:b/>
          <w:bCs/>
          <w:color w:val="auto"/>
          <w:sz w:val="28"/>
          <w:szCs w:val="28"/>
        </w:rPr>
      </w:pPr>
    </w:p>
    <w:p>
      <w:pPr>
        <w:spacing w:line="360" w:lineRule="auto"/>
        <w:jc w:val="center"/>
        <w:rPr>
          <w:rFonts w:ascii="宋体" w:hAnsi="宋体" w:cs="宋体"/>
          <w:b/>
          <w:bCs/>
          <w:color w:val="auto"/>
          <w:sz w:val="28"/>
          <w:szCs w:val="28"/>
        </w:rPr>
      </w:pPr>
    </w:p>
    <w:p>
      <w:pPr>
        <w:spacing w:line="360" w:lineRule="auto"/>
        <w:jc w:val="center"/>
        <w:rPr>
          <w:rFonts w:ascii="宋体" w:hAnsi="宋体" w:cs="宋体"/>
          <w:b/>
          <w:bCs/>
          <w:color w:val="auto"/>
          <w:sz w:val="28"/>
          <w:szCs w:val="28"/>
        </w:rPr>
      </w:pPr>
    </w:p>
    <w:p>
      <w:pPr>
        <w:spacing w:line="360" w:lineRule="auto"/>
        <w:jc w:val="center"/>
        <w:rPr>
          <w:rFonts w:ascii="宋体" w:hAnsi="宋体" w:cs="宋体"/>
          <w:b/>
          <w:bCs/>
          <w:color w:val="auto"/>
          <w:sz w:val="28"/>
          <w:szCs w:val="28"/>
        </w:rPr>
      </w:pPr>
    </w:p>
    <w:p>
      <w:pPr>
        <w:autoSpaceDE w:val="0"/>
        <w:autoSpaceDN w:val="0"/>
        <w:adjustRightInd w:val="0"/>
        <w:snapToGrid w:val="0"/>
        <w:spacing w:line="360" w:lineRule="auto"/>
        <w:jc w:val="left"/>
        <w:rPr>
          <w:rFonts w:ascii="宋体"/>
          <w:b/>
          <w:bCs/>
          <w:color w:val="auto"/>
          <w:szCs w:val="20"/>
        </w:rPr>
      </w:pPr>
      <w:bookmarkStart w:id="24" w:name="_Toc423350517"/>
    </w:p>
    <w:p>
      <w:pPr>
        <w:tabs>
          <w:tab w:val="left" w:pos="1843"/>
        </w:tabs>
        <w:ind w:left="420"/>
        <w:outlineLvl w:val="0"/>
        <w:rPr>
          <w:rFonts w:ascii="宋体"/>
          <w:b/>
          <w:color w:val="auto"/>
          <w:sz w:val="50"/>
          <w:szCs w:val="50"/>
        </w:rPr>
      </w:pPr>
    </w:p>
    <w:p>
      <w:pPr>
        <w:tabs>
          <w:tab w:val="left" w:pos="1843"/>
        </w:tabs>
        <w:ind w:left="420"/>
        <w:outlineLvl w:val="0"/>
        <w:rPr>
          <w:rFonts w:ascii="宋体"/>
          <w:b/>
          <w:color w:val="auto"/>
          <w:sz w:val="50"/>
          <w:szCs w:val="50"/>
        </w:rPr>
      </w:pPr>
    </w:p>
    <w:p>
      <w:pPr>
        <w:pStyle w:val="30"/>
        <w:rPr>
          <w:rFonts w:ascii="宋体"/>
          <w:b/>
          <w:color w:val="auto"/>
          <w:sz w:val="50"/>
          <w:szCs w:val="50"/>
        </w:rPr>
      </w:pPr>
    </w:p>
    <w:p>
      <w:pPr>
        <w:pStyle w:val="41"/>
        <w:ind w:firstLine="1004"/>
        <w:rPr>
          <w:rFonts w:ascii="宋体"/>
          <w:b/>
          <w:color w:val="auto"/>
          <w:sz w:val="50"/>
          <w:szCs w:val="50"/>
        </w:rPr>
      </w:pPr>
    </w:p>
    <w:bookmarkEnd w:id="24"/>
    <w:p>
      <w:pPr>
        <w:numPr>
          <w:ilvl w:val="0"/>
          <w:numId w:val="2"/>
        </w:numPr>
        <w:tabs>
          <w:tab w:val="left" w:pos="1843"/>
        </w:tabs>
        <w:jc w:val="center"/>
        <w:outlineLvl w:val="0"/>
        <w:rPr>
          <w:b/>
          <w:color w:val="auto"/>
          <w:sz w:val="50"/>
          <w:szCs w:val="50"/>
        </w:rPr>
      </w:pPr>
      <w:bookmarkStart w:id="25" w:name="_Toc457466640"/>
      <w:bookmarkStart w:id="26" w:name="_Toc16007"/>
      <w:bookmarkStart w:id="27" w:name="_Toc423350518"/>
      <w:r>
        <w:rPr>
          <w:rFonts w:hint="eastAsia"/>
          <w:b/>
          <w:color w:val="auto"/>
          <w:sz w:val="50"/>
          <w:szCs w:val="50"/>
        </w:rPr>
        <w:t>报价文件格式</w:t>
      </w:r>
      <w:bookmarkEnd w:id="25"/>
      <w:bookmarkEnd w:id="26"/>
      <w:bookmarkEnd w:id="27"/>
    </w:p>
    <w:p>
      <w:pPr>
        <w:pStyle w:val="11"/>
        <w:jc w:val="center"/>
        <w:rPr>
          <w:b/>
          <w:color w:val="auto"/>
          <w:sz w:val="30"/>
          <w:szCs w:val="30"/>
        </w:rPr>
      </w:pPr>
      <w:r>
        <w:rPr>
          <w:b/>
          <w:color w:val="auto"/>
          <w:sz w:val="50"/>
          <w:szCs w:val="50"/>
        </w:rPr>
        <w:br w:type="page"/>
      </w:r>
      <w:bookmarkStart w:id="28" w:name="_Toc457466641"/>
      <w:bookmarkStart w:id="29" w:name="_Toc418071334"/>
      <w:bookmarkStart w:id="30" w:name="_Toc423350519"/>
      <w:r>
        <w:rPr>
          <w:rFonts w:hint="eastAsia"/>
          <w:b/>
          <w:color w:val="auto"/>
          <w:sz w:val="30"/>
          <w:szCs w:val="30"/>
        </w:rPr>
        <w:t>报价文件包装封面参考</w:t>
      </w:r>
      <w:bookmarkEnd w:id="28"/>
      <w:bookmarkEnd w:id="29"/>
      <w:bookmarkEnd w:id="30"/>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59" w:hRule="atLeast"/>
        </w:trPr>
        <w:tc>
          <w:tcPr>
            <w:tcW w:w="8381" w:type="dxa"/>
            <w:noWrap/>
          </w:tcPr>
          <w:p>
            <w:pPr>
              <w:pStyle w:val="2"/>
              <w:spacing w:line="360" w:lineRule="auto"/>
              <w:ind w:firstLine="482" w:firstLineChars="150"/>
              <w:rPr>
                <w:rFonts w:ascii="宋体" w:hAnsi="宋体"/>
                <w:b/>
                <w:color w:val="auto"/>
                <w:kern w:val="2"/>
                <w:sz w:val="32"/>
                <w:szCs w:val="22"/>
              </w:rPr>
            </w:pPr>
          </w:p>
          <w:p>
            <w:pPr>
              <w:pStyle w:val="2"/>
              <w:spacing w:line="360" w:lineRule="auto"/>
              <w:ind w:firstLine="482" w:firstLineChars="150"/>
              <w:rPr>
                <w:rFonts w:ascii="宋体" w:hAnsi="宋体"/>
                <w:b/>
                <w:color w:val="auto"/>
                <w:kern w:val="2"/>
                <w:sz w:val="32"/>
                <w:szCs w:val="22"/>
              </w:rPr>
            </w:pPr>
          </w:p>
          <w:p>
            <w:pPr>
              <w:pStyle w:val="2"/>
              <w:spacing w:line="360" w:lineRule="auto"/>
              <w:ind w:firstLine="482" w:firstLineChars="150"/>
              <w:rPr>
                <w:rFonts w:ascii="宋体" w:hAnsi="宋体"/>
                <w:b/>
                <w:color w:val="auto"/>
                <w:kern w:val="2"/>
                <w:sz w:val="32"/>
                <w:szCs w:val="22"/>
              </w:rPr>
            </w:pPr>
          </w:p>
          <w:p>
            <w:pPr>
              <w:pStyle w:val="2"/>
              <w:spacing w:line="360" w:lineRule="auto"/>
              <w:jc w:val="center"/>
              <w:rPr>
                <w:rFonts w:ascii="宋体" w:hAnsi="宋体"/>
                <w:b/>
                <w:color w:val="auto"/>
                <w:kern w:val="2"/>
                <w:sz w:val="72"/>
                <w:szCs w:val="72"/>
              </w:rPr>
            </w:pPr>
            <w:r>
              <w:rPr>
                <w:rFonts w:hint="eastAsia" w:ascii="宋体" w:hAnsi="宋体"/>
                <w:b/>
                <w:color w:val="auto"/>
                <w:kern w:val="2"/>
                <w:sz w:val="72"/>
                <w:szCs w:val="72"/>
              </w:rPr>
              <w:t>报 价 文 件</w:t>
            </w:r>
          </w:p>
          <w:p>
            <w:pPr>
              <w:pStyle w:val="2"/>
              <w:spacing w:line="360" w:lineRule="auto"/>
              <w:jc w:val="center"/>
              <w:rPr>
                <w:rFonts w:ascii="宋体" w:hAnsi="宋体"/>
                <w:b/>
                <w:color w:val="auto"/>
                <w:kern w:val="2"/>
                <w:sz w:val="36"/>
                <w:szCs w:val="36"/>
              </w:rPr>
            </w:pPr>
            <w:r>
              <w:rPr>
                <w:rFonts w:hint="eastAsia" w:ascii="宋体" w:hAnsi="宋体"/>
                <w:b/>
                <w:color w:val="auto"/>
                <w:kern w:val="2"/>
                <w:sz w:val="36"/>
                <w:szCs w:val="36"/>
              </w:rPr>
              <w:t>口 报价信封</w:t>
            </w:r>
          </w:p>
          <w:p>
            <w:pPr>
              <w:pStyle w:val="2"/>
              <w:spacing w:line="360" w:lineRule="auto"/>
              <w:jc w:val="center"/>
              <w:rPr>
                <w:rFonts w:ascii="宋体" w:hAnsi="宋体"/>
                <w:b/>
                <w:color w:val="auto"/>
                <w:kern w:val="2"/>
                <w:sz w:val="36"/>
                <w:szCs w:val="36"/>
              </w:rPr>
            </w:pPr>
            <w:r>
              <w:rPr>
                <w:rFonts w:hint="eastAsia" w:ascii="宋体" w:hAnsi="宋体"/>
                <w:b/>
                <w:color w:val="auto"/>
                <w:kern w:val="2"/>
                <w:sz w:val="36"/>
                <w:szCs w:val="36"/>
              </w:rPr>
              <w:t>口 正本</w:t>
            </w:r>
          </w:p>
          <w:p>
            <w:pPr>
              <w:pStyle w:val="2"/>
              <w:spacing w:line="360" w:lineRule="auto"/>
              <w:jc w:val="center"/>
              <w:rPr>
                <w:rFonts w:ascii="宋体" w:hAnsi="宋体"/>
                <w:b/>
                <w:color w:val="auto"/>
                <w:kern w:val="2"/>
                <w:sz w:val="36"/>
                <w:szCs w:val="36"/>
              </w:rPr>
            </w:pPr>
            <w:r>
              <w:rPr>
                <w:rFonts w:hint="eastAsia" w:ascii="宋体" w:hAnsi="宋体"/>
                <w:b/>
                <w:color w:val="auto"/>
                <w:kern w:val="2"/>
                <w:sz w:val="36"/>
                <w:szCs w:val="36"/>
              </w:rPr>
              <w:t>口 副本</w:t>
            </w:r>
          </w:p>
          <w:p>
            <w:pPr>
              <w:pStyle w:val="2"/>
              <w:spacing w:line="360" w:lineRule="auto"/>
              <w:ind w:firstLine="482" w:firstLineChars="150"/>
              <w:rPr>
                <w:rFonts w:ascii="宋体" w:hAnsi="宋体"/>
                <w:b/>
                <w:color w:val="auto"/>
                <w:kern w:val="2"/>
                <w:sz w:val="32"/>
                <w:szCs w:val="22"/>
              </w:rPr>
            </w:pPr>
          </w:p>
          <w:p>
            <w:pPr>
              <w:pStyle w:val="2"/>
              <w:spacing w:line="400" w:lineRule="exact"/>
              <w:ind w:left="2216" w:leftChars="303" w:right="508" w:rightChars="242" w:hanging="1580" w:hangingChars="562"/>
              <w:rPr>
                <w:rFonts w:ascii="宋体" w:hAnsi="宋体"/>
                <w:b/>
                <w:color w:val="auto"/>
                <w:sz w:val="28"/>
                <w:szCs w:val="28"/>
              </w:rPr>
            </w:pPr>
            <w:r>
              <w:rPr>
                <w:rFonts w:hint="eastAsia" w:ascii="宋体" w:hAnsi="宋体"/>
                <w:b/>
                <w:color w:val="auto"/>
                <w:sz w:val="28"/>
                <w:szCs w:val="28"/>
              </w:rPr>
              <w:t>项目编号：GDCFCG-GDGZ-20230045</w:t>
            </w:r>
          </w:p>
          <w:p>
            <w:pPr>
              <w:pStyle w:val="2"/>
              <w:spacing w:line="400" w:lineRule="exact"/>
              <w:ind w:left="2216" w:leftChars="303" w:right="508" w:rightChars="242" w:hanging="1580" w:hangingChars="562"/>
              <w:rPr>
                <w:rFonts w:ascii="宋体" w:hAnsi="宋体"/>
                <w:b/>
                <w:color w:val="auto"/>
                <w:sz w:val="28"/>
                <w:szCs w:val="28"/>
              </w:rPr>
            </w:pPr>
            <w:r>
              <w:rPr>
                <w:rFonts w:hint="eastAsia" w:ascii="宋体" w:hAnsi="宋体"/>
                <w:b/>
                <w:color w:val="auto"/>
                <w:sz w:val="28"/>
                <w:szCs w:val="28"/>
              </w:rPr>
              <w:t>项目名称：2023年花都区农产品质量安全基层检测技术人员培训及危险化学品使用储存场所安全现状评价和安全技术服务、职业病危害因素检测采购项目报价供应商名称：</w:t>
            </w:r>
          </w:p>
          <w:p>
            <w:pPr>
              <w:pStyle w:val="2"/>
              <w:spacing w:line="400" w:lineRule="exact"/>
              <w:ind w:left="2216" w:leftChars="303" w:right="508" w:rightChars="242" w:hanging="1580" w:hangingChars="562"/>
              <w:rPr>
                <w:rFonts w:ascii="宋体" w:hAnsi="宋体"/>
                <w:b/>
                <w:color w:val="auto"/>
                <w:sz w:val="28"/>
                <w:szCs w:val="28"/>
              </w:rPr>
            </w:pPr>
            <w:r>
              <w:rPr>
                <w:rFonts w:hint="eastAsia" w:ascii="宋体" w:hAnsi="宋体"/>
                <w:b/>
                <w:color w:val="auto"/>
                <w:sz w:val="28"/>
                <w:szCs w:val="28"/>
              </w:rPr>
              <w:t>报价供应商地址：</w:t>
            </w:r>
          </w:p>
          <w:p>
            <w:pPr>
              <w:pStyle w:val="2"/>
              <w:spacing w:line="400" w:lineRule="exact"/>
              <w:ind w:left="2216" w:leftChars="303" w:right="508" w:rightChars="242" w:hanging="1580" w:hangingChars="562"/>
              <w:rPr>
                <w:rFonts w:ascii="仿宋_GB2312" w:eastAsia="仿宋_GB2312"/>
                <w:b/>
                <w:color w:val="auto"/>
                <w:sz w:val="28"/>
                <w:szCs w:val="28"/>
              </w:rPr>
            </w:pPr>
            <w:r>
              <w:rPr>
                <w:rFonts w:hint="eastAsia" w:ascii="宋体" w:hAnsi="宋体"/>
                <w:b/>
                <w:color w:val="auto"/>
                <w:sz w:val="28"/>
                <w:szCs w:val="28"/>
              </w:rPr>
              <w:t>参投包组：</w:t>
            </w:r>
          </w:p>
          <w:p>
            <w:pPr>
              <w:pStyle w:val="2"/>
              <w:spacing w:line="400" w:lineRule="exact"/>
              <w:ind w:firstLine="900" w:firstLineChars="320"/>
              <w:rPr>
                <w:rFonts w:ascii="仿宋_GB2312" w:eastAsia="仿宋_GB2312"/>
                <w:b/>
                <w:color w:val="auto"/>
                <w:kern w:val="2"/>
                <w:sz w:val="28"/>
                <w:szCs w:val="28"/>
              </w:rPr>
            </w:pPr>
          </w:p>
          <w:p>
            <w:pPr>
              <w:pStyle w:val="2"/>
              <w:spacing w:line="400" w:lineRule="exact"/>
              <w:ind w:firstLine="900" w:firstLineChars="320"/>
              <w:rPr>
                <w:rFonts w:ascii="宋体" w:hAnsi="宋体"/>
                <w:b/>
                <w:color w:val="auto"/>
                <w:kern w:val="2"/>
                <w:sz w:val="28"/>
                <w:szCs w:val="28"/>
              </w:rPr>
            </w:pPr>
          </w:p>
          <w:p>
            <w:pPr>
              <w:tabs>
                <w:tab w:val="left" w:pos="851"/>
              </w:tabs>
              <w:autoSpaceDE w:val="0"/>
              <w:autoSpaceDN w:val="0"/>
              <w:adjustRightInd w:val="0"/>
              <w:snapToGrid w:val="0"/>
              <w:spacing w:line="420" w:lineRule="auto"/>
              <w:jc w:val="center"/>
              <w:rPr>
                <w:rFonts w:ascii="宋体" w:hAnsi="宋体"/>
                <w:b/>
                <w:color w:val="auto"/>
                <w:sz w:val="32"/>
              </w:rPr>
            </w:pPr>
            <w:r>
              <w:rPr>
                <w:rFonts w:ascii="宋体" w:hAnsi="宋体"/>
                <w:b/>
                <w:color w:val="auto"/>
                <w:sz w:val="28"/>
                <w:szCs w:val="28"/>
              </w:rPr>
              <w:t>(</w:t>
            </w:r>
            <w:r>
              <w:rPr>
                <w:rFonts w:hint="eastAsia" w:ascii="宋体" w:hAnsi="宋体"/>
                <w:b/>
                <w:color w:val="auto"/>
                <w:sz w:val="28"/>
                <w:szCs w:val="28"/>
                <w:lang w:val="en-US" w:eastAsia="zh-CN"/>
              </w:rPr>
              <w:t xml:space="preserve">   </w:t>
            </w:r>
            <w:r>
              <w:rPr>
                <w:rFonts w:hint="eastAsia" w:ascii="宋体" w:hAnsi="宋体"/>
                <w:b/>
                <w:color w:val="auto"/>
                <w:sz w:val="28"/>
                <w:szCs w:val="28"/>
              </w:rPr>
              <w:t>年</w:t>
            </w:r>
            <w:r>
              <w:rPr>
                <w:rFonts w:hint="eastAsia" w:ascii="宋体" w:hAnsi="宋体"/>
                <w:b/>
                <w:color w:val="auto"/>
                <w:sz w:val="28"/>
                <w:szCs w:val="28"/>
                <w:lang w:val="en-US" w:eastAsia="zh-CN"/>
              </w:rPr>
              <w:t xml:space="preserve">   </w:t>
            </w:r>
            <w:r>
              <w:rPr>
                <w:rFonts w:hint="eastAsia" w:ascii="宋体" w:hAnsi="宋体"/>
                <w:b/>
                <w:color w:val="auto"/>
                <w:sz w:val="28"/>
                <w:szCs w:val="28"/>
              </w:rPr>
              <w:t>月</w:t>
            </w:r>
            <w:r>
              <w:rPr>
                <w:rFonts w:hint="eastAsia" w:ascii="宋体" w:hAnsi="宋体"/>
                <w:b/>
                <w:color w:val="auto"/>
                <w:sz w:val="28"/>
                <w:szCs w:val="28"/>
                <w:lang w:val="en-US" w:eastAsia="zh-CN"/>
              </w:rPr>
              <w:t xml:space="preserve">   </w:t>
            </w:r>
            <w:r>
              <w:rPr>
                <w:rFonts w:hint="eastAsia" w:ascii="宋体" w:hAnsi="宋体"/>
                <w:b/>
                <w:color w:val="auto"/>
                <w:sz w:val="28"/>
                <w:szCs w:val="28"/>
              </w:rPr>
              <w:t>日</w:t>
            </w:r>
            <w:r>
              <w:rPr>
                <w:rFonts w:hint="eastAsia" w:ascii="宋体" w:hAnsi="宋体"/>
                <w:b/>
                <w:color w:val="auto"/>
                <w:sz w:val="28"/>
                <w:szCs w:val="28"/>
                <w:lang w:val="en-US" w:eastAsia="zh-CN"/>
              </w:rPr>
              <w:t xml:space="preserve">   </w:t>
            </w:r>
            <w:r>
              <w:rPr>
                <w:rFonts w:hint="eastAsia" w:ascii="宋体" w:hAnsi="宋体"/>
                <w:b/>
                <w:color w:val="auto"/>
                <w:sz w:val="28"/>
                <w:szCs w:val="28"/>
              </w:rPr>
              <w:t>时</w:t>
            </w:r>
            <w:r>
              <w:rPr>
                <w:rFonts w:hint="eastAsia" w:ascii="宋体" w:hAnsi="宋体"/>
                <w:b/>
                <w:color w:val="auto"/>
                <w:sz w:val="28"/>
                <w:szCs w:val="28"/>
                <w:lang w:val="en-US" w:eastAsia="zh-CN"/>
              </w:rPr>
              <w:t xml:space="preserve">   </w:t>
            </w:r>
            <w:r>
              <w:rPr>
                <w:rFonts w:hint="eastAsia" w:ascii="宋体" w:hAnsi="宋体"/>
                <w:b/>
                <w:color w:val="auto"/>
                <w:sz w:val="28"/>
                <w:szCs w:val="28"/>
              </w:rPr>
              <w:t>分</w:t>
            </w:r>
            <w:r>
              <w:rPr>
                <w:rFonts w:ascii="宋体" w:hAnsi="宋体"/>
                <w:b/>
                <w:color w:val="auto"/>
                <w:sz w:val="28"/>
                <w:szCs w:val="28"/>
              </w:rPr>
              <w:t>)</w:t>
            </w:r>
            <w:r>
              <w:rPr>
                <w:rFonts w:hint="eastAsia" w:ascii="宋体" w:hAnsi="宋体"/>
                <w:b/>
                <w:color w:val="auto"/>
                <w:sz w:val="28"/>
                <w:szCs w:val="28"/>
              </w:rPr>
              <w:t>之前不得启封</w:t>
            </w:r>
          </w:p>
        </w:tc>
      </w:tr>
    </w:tbl>
    <w:p>
      <w:pPr>
        <w:spacing w:line="240" w:lineRule="exact"/>
        <w:rPr>
          <w:rFonts w:ascii="宋体" w:hAnsi="宋体"/>
          <w:color w:val="auto"/>
          <w:sz w:val="24"/>
        </w:rPr>
      </w:pPr>
    </w:p>
    <w:p>
      <w:pPr>
        <w:pStyle w:val="11"/>
        <w:jc w:val="center"/>
        <w:rPr>
          <w:b/>
          <w:color w:val="auto"/>
          <w:sz w:val="30"/>
          <w:szCs w:val="30"/>
        </w:rPr>
      </w:pPr>
      <w:bookmarkStart w:id="31" w:name="_Toc423350520"/>
      <w:bookmarkStart w:id="32" w:name="_Toc418071335"/>
      <w:bookmarkStart w:id="33" w:name="_Toc457466642"/>
      <w:r>
        <w:rPr>
          <w:b/>
          <w:color w:val="auto"/>
          <w:sz w:val="30"/>
          <w:szCs w:val="30"/>
        </w:rPr>
        <w:br w:type="page"/>
      </w:r>
      <w:r>
        <w:rPr>
          <w:rFonts w:hint="eastAsia"/>
          <w:b/>
          <w:color w:val="auto"/>
          <w:sz w:val="30"/>
          <w:szCs w:val="30"/>
        </w:rPr>
        <w:t>报价文件目录表</w:t>
      </w:r>
      <w:bookmarkEnd w:id="31"/>
      <w:bookmarkEnd w:id="32"/>
      <w:bookmarkEnd w:id="33"/>
    </w:p>
    <w:p>
      <w:pPr>
        <w:spacing w:line="360" w:lineRule="auto"/>
        <w:rPr>
          <w:rFonts w:ascii="宋体" w:hAnsi="宋体"/>
          <w:color w:val="auto"/>
        </w:rPr>
      </w:pPr>
      <w:r>
        <w:rPr>
          <w:rFonts w:hint="eastAsia" w:ascii="宋体" w:hAnsi="宋体"/>
          <w:color w:val="auto"/>
        </w:rPr>
        <w:t>项目名称：2023年花都区农产品质量安全基层检测技术人员培训及危险化学品使用储存场所安全现状评价和安全技术服务、职业病危害因素检测采购项目</w:t>
      </w:r>
    </w:p>
    <w:p>
      <w:pPr>
        <w:spacing w:line="360" w:lineRule="auto"/>
        <w:rPr>
          <w:rFonts w:ascii="宋体" w:hAnsi="宋体"/>
          <w:b/>
          <w:bCs/>
          <w:color w:val="auto"/>
        </w:rPr>
      </w:pPr>
      <w:r>
        <w:rPr>
          <w:rFonts w:hint="eastAsia" w:ascii="宋体" w:hAnsi="宋体"/>
          <w:color w:val="auto"/>
        </w:rPr>
        <w:t>项目编号：GDCFCG-GDGZ-20230045</w:t>
      </w:r>
    </w:p>
    <w:tbl>
      <w:tblPr>
        <w:tblStyle w:val="23"/>
        <w:tblW w:w="865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4"/>
        <w:gridCol w:w="5532"/>
        <w:gridCol w:w="729"/>
        <w:gridCol w:w="665"/>
        <w:gridCol w:w="9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3" w:hRule="atLeast"/>
        </w:trPr>
        <w:tc>
          <w:tcPr>
            <w:tcW w:w="744" w:type="dxa"/>
            <w:vMerge w:val="restart"/>
            <w:shd w:val="clear" w:color="auto" w:fill="EEECE1"/>
            <w:noWrap/>
            <w:vAlign w:val="center"/>
          </w:tcPr>
          <w:p>
            <w:pPr>
              <w:ind w:left="-101" w:leftChars="-48" w:right="-99" w:rightChars="-47"/>
              <w:jc w:val="center"/>
              <w:rPr>
                <w:rFonts w:ascii="宋体" w:hAnsi="宋体"/>
                <w:b/>
                <w:color w:val="auto"/>
                <w:szCs w:val="21"/>
              </w:rPr>
            </w:pPr>
            <w:r>
              <w:rPr>
                <w:rFonts w:hint="eastAsia" w:ascii="宋体" w:hAnsi="宋体"/>
                <w:b/>
                <w:color w:val="auto"/>
                <w:szCs w:val="21"/>
              </w:rPr>
              <w:t>序号</w:t>
            </w:r>
          </w:p>
        </w:tc>
        <w:tc>
          <w:tcPr>
            <w:tcW w:w="5532" w:type="dxa"/>
            <w:vMerge w:val="restart"/>
            <w:shd w:val="clear" w:color="auto" w:fill="EEECE1"/>
            <w:noWrap/>
            <w:vAlign w:val="center"/>
          </w:tcPr>
          <w:p>
            <w:pPr>
              <w:jc w:val="center"/>
              <w:rPr>
                <w:rFonts w:ascii="宋体" w:hAnsi="宋体"/>
                <w:b/>
                <w:color w:val="auto"/>
                <w:szCs w:val="21"/>
              </w:rPr>
            </w:pPr>
            <w:r>
              <w:rPr>
                <w:rFonts w:hint="eastAsia" w:ascii="宋体" w:hAnsi="宋体"/>
                <w:b/>
                <w:color w:val="auto"/>
                <w:szCs w:val="21"/>
              </w:rPr>
              <w:t>文    件    名    称</w:t>
            </w:r>
          </w:p>
        </w:tc>
        <w:tc>
          <w:tcPr>
            <w:tcW w:w="1394" w:type="dxa"/>
            <w:gridSpan w:val="2"/>
            <w:shd w:val="clear" w:color="auto" w:fill="EEECE1"/>
            <w:noWrap/>
            <w:vAlign w:val="center"/>
          </w:tcPr>
          <w:p>
            <w:pPr>
              <w:ind w:left="-118" w:leftChars="-56" w:right="-94" w:rightChars="-45"/>
              <w:jc w:val="center"/>
              <w:rPr>
                <w:rFonts w:ascii="宋体" w:hAnsi="宋体"/>
                <w:b/>
                <w:color w:val="auto"/>
                <w:szCs w:val="21"/>
              </w:rPr>
            </w:pPr>
            <w:r>
              <w:rPr>
                <w:rFonts w:hint="eastAsia" w:ascii="宋体" w:hAnsi="宋体"/>
                <w:b/>
                <w:color w:val="auto"/>
                <w:szCs w:val="21"/>
              </w:rPr>
              <w:t>提交情况</w:t>
            </w:r>
          </w:p>
        </w:tc>
        <w:tc>
          <w:tcPr>
            <w:tcW w:w="988" w:type="dxa"/>
            <w:vMerge w:val="restart"/>
            <w:shd w:val="clear" w:color="auto" w:fill="EEECE1"/>
            <w:noWrap/>
            <w:vAlign w:val="center"/>
          </w:tcPr>
          <w:p>
            <w:pPr>
              <w:jc w:val="center"/>
              <w:rPr>
                <w:rFonts w:ascii="宋体" w:hAnsi="宋体"/>
                <w:b/>
                <w:color w:val="auto"/>
                <w:szCs w:val="21"/>
              </w:rPr>
            </w:pPr>
            <w:r>
              <w:rPr>
                <w:rFonts w:hint="eastAsia" w:ascii="宋体" w:hAnsi="宋体"/>
                <w:b/>
                <w:color w:val="auto"/>
                <w:szCs w:val="21"/>
              </w:rPr>
              <w:t>页码范围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1" w:hRule="atLeast"/>
        </w:trPr>
        <w:tc>
          <w:tcPr>
            <w:tcW w:w="744" w:type="dxa"/>
            <w:vMerge w:val="continue"/>
            <w:shd w:val="clear" w:color="auto" w:fill="EEECE1"/>
            <w:noWrap/>
            <w:vAlign w:val="center"/>
          </w:tcPr>
          <w:p>
            <w:pPr>
              <w:rPr>
                <w:rFonts w:ascii="宋体" w:hAnsi="宋体"/>
                <w:color w:val="auto"/>
                <w:szCs w:val="21"/>
              </w:rPr>
            </w:pPr>
          </w:p>
        </w:tc>
        <w:tc>
          <w:tcPr>
            <w:tcW w:w="5532" w:type="dxa"/>
            <w:vMerge w:val="continue"/>
            <w:shd w:val="clear" w:color="auto" w:fill="EEECE1"/>
            <w:noWrap/>
            <w:vAlign w:val="center"/>
          </w:tcPr>
          <w:p>
            <w:pPr>
              <w:rPr>
                <w:rFonts w:ascii="宋体" w:hAnsi="宋体"/>
                <w:color w:val="auto"/>
                <w:szCs w:val="21"/>
              </w:rPr>
            </w:pPr>
          </w:p>
        </w:tc>
        <w:tc>
          <w:tcPr>
            <w:tcW w:w="729" w:type="dxa"/>
            <w:shd w:val="clear" w:color="auto" w:fill="EEECE1"/>
            <w:noWrap/>
            <w:vAlign w:val="center"/>
          </w:tcPr>
          <w:p>
            <w:pPr>
              <w:jc w:val="center"/>
              <w:rPr>
                <w:rFonts w:ascii="宋体" w:hAnsi="宋体"/>
                <w:b/>
                <w:color w:val="auto"/>
                <w:szCs w:val="21"/>
              </w:rPr>
            </w:pPr>
            <w:r>
              <w:rPr>
                <w:rFonts w:hint="eastAsia" w:ascii="宋体" w:hAnsi="宋体"/>
                <w:b/>
                <w:color w:val="auto"/>
                <w:szCs w:val="21"/>
              </w:rPr>
              <w:t>有</w:t>
            </w:r>
          </w:p>
        </w:tc>
        <w:tc>
          <w:tcPr>
            <w:tcW w:w="665" w:type="dxa"/>
            <w:shd w:val="clear" w:color="auto" w:fill="EEECE1"/>
            <w:noWrap/>
            <w:vAlign w:val="center"/>
          </w:tcPr>
          <w:p>
            <w:pPr>
              <w:jc w:val="center"/>
              <w:rPr>
                <w:rFonts w:ascii="宋体" w:hAnsi="宋体"/>
                <w:b/>
                <w:color w:val="auto"/>
                <w:szCs w:val="21"/>
              </w:rPr>
            </w:pPr>
            <w:r>
              <w:rPr>
                <w:rFonts w:hint="eastAsia" w:ascii="宋体" w:hAnsi="宋体"/>
                <w:b/>
                <w:color w:val="auto"/>
                <w:szCs w:val="21"/>
              </w:rPr>
              <w:t>无</w:t>
            </w:r>
          </w:p>
        </w:tc>
        <w:tc>
          <w:tcPr>
            <w:tcW w:w="988" w:type="dxa"/>
            <w:vMerge w:val="continue"/>
            <w:shd w:val="clear" w:color="auto" w:fill="EEECE1"/>
            <w:noWrap/>
            <w:vAlign w:val="center"/>
          </w:tcPr>
          <w:p>
            <w:pPr>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4" w:hRule="atLeast"/>
        </w:trPr>
        <w:tc>
          <w:tcPr>
            <w:tcW w:w="744" w:type="dxa"/>
            <w:shd w:val="clear" w:color="auto" w:fill="auto"/>
            <w:noWrap/>
            <w:vAlign w:val="center"/>
          </w:tcPr>
          <w:p>
            <w:pPr>
              <w:numPr>
                <w:ilvl w:val="0"/>
                <w:numId w:val="11"/>
              </w:numPr>
              <w:jc w:val="center"/>
              <w:rPr>
                <w:rFonts w:ascii="宋体" w:hAnsi="宋体"/>
                <w:color w:val="auto"/>
                <w:szCs w:val="21"/>
              </w:rPr>
            </w:pPr>
          </w:p>
        </w:tc>
        <w:tc>
          <w:tcPr>
            <w:tcW w:w="5532" w:type="dxa"/>
            <w:shd w:val="clear" w:color="auto" w:fill="auto"/>
            <w:noWrap/>
            <w:vAlign w:val="center"/>
          </w:tcPr>
          <w:p>
            <w:pPr>
              <w:pStyle w:val="11"/>
              <w:rPr>
                <w:rFonts w:hAnsi="宋体"/>
                <w:color w:val="auto"/>
                <w:kern w:val="2"/>
                <w:sz w:val="21"/>
                <w:szCs w:val="21"/>
              </w:rPr>
            </w:pPr>
            <w:r>
              <w:rPr>
                <w:rFonts w:hint="eastAsia" w:hAnsi="宋体"/>
                <w:color w:val="auto"/>
                <w:kern w:val="2"/>
                <w:sz w:val="21"/>
                <w:szCs w:val="21"/>
              </w:rPr>
              <w:t>供应商资格声明函</w:t>
            </w:r>
          </w:p>
        </w:tc>
        <w:tc>
          <w:tcPr>
            <w:tcW w:w="729" w:type="dxa"/>
            <w:shd w:val="clear" w:color="auto" w:fill="auto"/>
            <w:noWrap/>
            <w:vAlign w:val="center"/>
          </w:tcPr>
          <w:p>
            <w:pPr>
              <w:jc w:val="center"/>
              <w:rPr>
                <w:rFonts w:ascii="宋体" w:hAnsi="宋体"/>
                <w:color w:val="auto"/>
                <w:szCs w:val="21"/>
              </w:rPr>
            </w:pPr>
          </w:p>
        </w:tc>
        <w:tc>
          <w:tcPr>
            <w:tcW w:w="665" w:type="dxa"/>
            <w:shd w:val="clear" w:color="auto" w:fill="auto"/>
            <w:noWrap/>
            <w:vAlign w:val="center"/>
          </w:tcPr>
          <w:p>
            <w:pPr>
              <w:jc w:val="center"/>
              <w:rPr>
                <w:rFonts w:ascii="宋体" w:hAnsi="宋体"/>
                <w:color w:val="auto"/>
                <w:szCs w:val="21"/>
              </w:rPr>
            </w:pPr>
          </w:p>
        </w:tc>
        <w:tc>
          <w:tcPr>
            <w:tcW w:w="988" w:type="dxa"/>
            <w:shd w:val="clear" w:color="auto" w:fill="EEECE1"/>
            <w:noWrap/>
            <w:vAlign w:val="center"/>
          </w:tcPr>
          <w:p>
            <w:pPr>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4" w:hRule="atLeast"/>
        </w:trPr>
        <w:tc>
          <w:tcPr>
            <w:tcW w:w="744" w:type="dxa"/>
            <w:shd w:val="clear" w:color="auto" w:fill="auto"/>
            <w:noWrap/>
            <w:vAlign w:val="center"/>
          </w:tcPr>
          <w:p>
            <w:pPr>
              <w:numPr>
                <w:ilvl w:val="0"/>
                <w:numId w:val="11"/>
              </w:numPr>
              <w:jc w:val="center"/>
              <w:rPr>
                <w:rFonts w:ascii="宋体" w:hAnsi="宋体"/>
                <w:color w:val="auto"/>
                <w:szCs w:val="21"/>
              </w:rPr>
            </w:pPr>
          </w:p>
        </w:tc>
        <w:tc>
          <w:tcPr>
            <w:tcW w:w="5532" w:type="dxa"/>
            <w:shd w:val="clear" w:color="auto" w:fill="auto"/>
            <w:noWrap/>
            <w:vAlign w:val="center"/>
          </w:tcPr>
          <w:p>
            <w:pPr>
              <w:pStyle w:val="11"/>
              <w:rPr>
                <w:rFonts w:hAnsi="宋体"/>
                <w:color w:val="auto"/>
                <w:sz w:val="21"/>
                <w:szCs w:val="21"/>
              </w:rPr>
            </w:pPr>
            <w:r>
              <w:rPr>
                <w:rFonts w:hint="eastAsia" w:hAnsi="宋体"/>
                <w:color w:val="auto"/>
                <w:sz w:val="21"/>
                <w:szCs w:val="21"/>
              </w:rPr>
              <w:t>用户需求书响应声明函</w:t>
            </w:r>
          </w:p>
        </w:tc>
        <w:tc>
          <w:tcPr>
            <w:tcW w:w="729" w:type="dxa"/>
            <w:shd w:val="clear" w:color="auto" w:fill="auto"/>
            <w:noWrap/>
            <w:vAlign w:val="center"/>
          </w:tcPr>
          <w:p>
            <w:pPr>
              <w:jc w:val="center"/>
              <w:rPr>
                <w:rFonts w:ascii="宋体" w:hAnsi="宋体"/>
                <w:color w:val="auto"/>
                <w:szCs w:val="21"/>
              </w:rPr>
            </w:pPr>
          </w:p>
        </w:tc>
        <w:tc>
          <w:tcPr>
            <w:tcW w:w="665" w:type="dxa"/>
            <w:shd w:val="clear" w:color="auto" w:fill="auto"/>
            <w:noWrap/>
            <w:vAlign w:val="center"/>
          </w:tcPr>
          <w:p>
            <w:pPr>
              <w:jc w:val="center"/>
              <w:rPr>
                <w:rFonts w:ascii="宋体" w:hAnsi="宋体"/>
                <w:color w:val="auto"/>
                <w:szCs w:val="21"/>
              </w:rPr>
            </w:pPr>
          </w:p>
        </w:tc>
        <w:tc>
          <w:tcPr>
            <w:tcW w:w="988" w:type="dxa"/>
            <w:shd w:val="clear" w:color="auto" w:fill="EEECE1"/>
            <w:noWrap/>
            <w:vAlign w:val="center"/>
          </w:tcPr>
          <w:p>
            <w:pPr>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4" w:hRule="atLeast"/>
        </w:trPr>
        <w:tc>
          <w:tcPr>
            <w:tcW w:w="744" w:type="dxa"/>
            <w:shd w:val="clear" w:color="auto" w:fill="auto"/>
            <w:noWrap/>
            <w:vAlign w:val="center"/>
          </w:tcPr>
          <w:p>
            <w:pPr>
              <w:numPr>
                <w:ilvl w:val="0"/>
                <w:numId w:val="11"/>
              </w:numPr>
              <w:jc w:val="center"/>
              <w:rPr>
                <w:rFonts w:ascii="宋体" w:hAnsi="宋体"/>
                <w:color w:val="auto"/>
                <w:szCs w:val="21"/>
              </w:rPr>
            </w:pPr>
          </w:p>
        </w:tc>
        <w:tc>
          <w:tcPr>
            <w:tcW w:w="5532" w:type="dxa"/>
            <w:shd w:val="clear" w:color="auto" w:fill="auto"/>
            <w:noWrap/>
            <w:vAlign w:val="center"/>
          </w:tcPr>
          <w:p>
            <w:pPr>
              <w:pStyle w:val="11"/>
              <w:rPr>
                <w:rFonts w:hAnsi="宋体"/>
                <w:color w:val="auto"/>
                <w:sz w:val="21"/>
                <w:szCs w:val="21"/>
              </w:rPr>
            </w:pPr>
            <w:r>
              <w:rPr>
                <w:rFonts w:hint="eastAsia"/>
                <w:color w:val="auto"/>
                <w:szCs w:val="21"/>
              </w:rPr>
              <w:t>法人或者其他组织的营业执照、组织机构代码证和税务登记证（或多证合一证明）等证明文件</w:t>
            </w:r>
          </w:p>
        </w:tc>
        <w:tc>
          <w:tcPr>
            <w:tcW w:w="729" w:type="dxa"/>
            <w:shd w:val="clear" w:color="auto" w:fill="auto"/>
            <w:noWrap/>
            <w:vAlign w:val="center"/>
          </w:tcPr>
          <w:p>
            <w:pPr>
              <w:jc w:val="center"/>
              <w:rPr>
                <w:rFonts w:ascii="宋体" w:hAnsi="宋体"/>
                <w:color w:val="auto"/>
                <w:szCs w:val="21"/>
              </w:rPr>
            </w:pPr>
          </w:p>
        </w:tc>
        <w:tc>
          <w:tcPr>
            <w:tcW w:w="665" w:type="dxa"/>
            <w:shd w:val="clear" w:color="auto" w:fill="auto"/>
            <w:noWrap/>
            <w:vAlign w:val="center"/>
          </w:tcPr>
          <w:p>
            <w:pPr>
              <w:jc w:val="center"/>
              <w:rPr>
                <w:rFonts w:ascii="宋体" w:hAnsi="宋体"/>
                <w:color w:val="auto"/>
                <w:szCs w:val="21"/>
              </w:rPr>
            </w:pPr>
          </w:p>
        </w:tc>
        <w:tc>
          <w:tcPr>
            <w:tcW w:w="988" w:type="dxa"/>
            <w:shd w:val="clear" w:color="auto" w:fill="EEECE1"/>
            <w:noWrap/>
            <w:vAlign w:val="center"/>
          </w:tcPr>
          <w:p>
            <w:pPr>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4" w:hRule="atLeast"/>
        </w:trPr>
        <w:tc>
          <w:tcPr>
            <w:tcW w:w="744" w:type="dxa"/>
            <w:shd w:val="clear" w:color="auto" w:fill="auto"/>
            <w:noWrap/>
            <w:vAlign w:val="center"/>
          </w:tcPr>
          <w:p>
            <w:pPr>
              <w:numPr>
                <w:ilvl w:val="0"/>
                <w:numId w:val="11"/>
              </w:numPr>
              <w:jc w:val="center"/>
              <w:rPr>
                <w:rFonts w:ascii="宋体" w:hAnsi="宋体"/>
                <w:color w:val="auto"/>
                <w:szCs w:val="21"/>
              </w:rPr>
            </w:pPr>
          </w:p>
        </w:tc>
        <w:tc>
          <w:tcPr>
            <w:tcW w:w="5532" w:type="dxa"/>
            <w:shd w:val="clear" w:color="auto" w:fill="auto"/>
            <w:noWrap/>
            <w:vAlign w:val="center"/>
          </w:tcPr>
          <w:p>
            <w:pPr>
              <w:pStyle w:val="11"/>
              <w:rPr>
                <w:rFonts w:hAnsi="宋体"/>
                <w:color w:val="auto"/>
                <w:sz w:val="21"/>
                <w:szCs w:val="21"/>
              </w:rPr>
            </w:pPr>
            <w:r>
              <w:rPr>
                <w:rFonts w:hint="eastAsia" w:hAnsi="宋体" w:cs="宋体"/>
                <w:bCs/>
                <w:color w:val="auto"/>
              </w:rPr>
              <w:t>信用中国网站及中国政府采购网查询截图</w:t>
            </w:r>
          </w:p>
        </w:tc>
        <w:tc>
          <w:tcPr>
            <w:tcW w:w="729" w:type="dxa"/>
            <w:shd w:val="clear" w:color="auto" w:fill="auto"/>
            <w:noWrap/>
            <w:vAlign w:val="center"/>
          </w:tcPr>
          <w:p>
            <w:pPr>
              <w:jc w:val="center"/>
              <w:rPr>
                <w:rFonts w:ascii="宋体" w:hAnsi="宋体"/>
                <w:color w:val="auto"/>
                <w:szCs w:val="21"/>
              </w:rPr>
            </w:pPr>
          </w:p>
        </w:tc>
        <w:tc>
          <w:tcPr>
            <w:tcW w:w="665" w:type="dxa"/>
            <w:shd w:val="clear" w:color="auto" w:fill="auto"/>
            <w:noWrap/>
            <w:vAlign w:val="center"/>
          </w:tcPr>
          <w:p>
            <w:pPr>
              <w:jc w:val="center"/>
              <w:rPr>
                <w:rFonts w:ascii="宋体" w:hAnsi="宋体"/>
                <w:color w:val="auto"/>
                <w:szCs w:val="21"/>
              </w:rPr>
            </w:pPr>
          </w:p>
        </w:tc>
        <w:tc>
          <w:tcPr>
            <w:tcW w:w="988" w:type="dxa"/>
            <w:shd w:val="clear" w:color="auto" w:fill="EEECE1"/>
            <w:noWrap/>
            <w:vAlign w:val="center"/>
          </w:tcPr>
          <w:p>
            <w:pPr>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4" w:hRule="atLeast"/>
        </w:trPr>
        <w:tc>
          <w:tcPr>
            <w:tcW w:w="744" w:type="dxa"/>
            <w:shd w:val="clear" w:color="auto" w:fill="auto"/>
            <w:noWrap/>
            <w:vAlign w:val="center"/>
          </w:tcPr>
          <w:p>
            <w:pPr>
              <w:numPr>
                <w:ilvl w:val="0"/>
                <w:numId w:val="11"/>
              </w:numPr>
              <w:jc w:val="center"/>
              <w:rPr>
                <w:rFonts w:ascii="宋体" w:hAnsi="宋体"/>
                <w:color w:val="auto"/>
                <w:szCs w:val="21"/>
              </w:rPr>
            </w:pPr>
          </w:p>
        </w:tc>
        <w:tc>
          <w:tcPr>
            <w:tcW w:w="5532" w:type="dxa"/>
            <w:shd w:val="clear" w:color="auto" w:fill="auto"/>
            <w:noWrap/>
            <w:vAlign w:val="center"/>
          </w:tcPr>
          <w:p>
            <w:pPr>
              <w:pStyle w:val="11"/>
              <w:rPr>
                <w:rFonts w:hAnsi="宋体" w:cs="宋体"/>
                <w:bCs/>
                <w:color w:val="auto"/>
                <w:sz w:val="21"/>
                <w:szCs w:val="21"/>
              </w:rPr>
            </w:pPr>
            <w:r>
              <w:rPr>
                <w:rFonts w:hint="eastAsia" w:hAnsi="宋体"/>
                <w:color w:val="auto"/>
                <w:kern w:val="2"/>
                <w:sz w:val="21"/>
                <w:szCs w:val="21"/>
              </w:rPr>
              <w:t>法定代表人授权委托书</w:t>
            </w:r>
          </w:p>
        </w:tc>
        <w:tc>
          <w:tcPr>
            <w:tcW w:w="729" w:type="dxa"/>
            <w:shd w:val="clear" w:color="auto" w:fill="auto"/>
            <w:noWrap/>
            <w:vAlign w:val="center"/>
          </w:tcPr>
          <w:p>
            <w:pPr>
              <w:jc w:val="center"/>
              <w:rPr>
                <w:rFonts w:ascii="宋体" w:hAnsi="宋体"/>
                <w:color w:val="auto"/>
                <w:szCs w:val="21"/>
              </w:rPr>
            </w:pPr>
          </w:p>
        </w:tc>
        <w:tc>
          <w:tcPr>
            <w:tcW w:w="665" w:type="dxa"/>
            <w:shd w:val="clear" w:color="auto" w:fill="auto"/>
            <w:noWrap/>
            <w:vAlign w:val="center"/>
          </w:tcPr>
          <w:p>
            <w:pPr>
              <w:jc w:val="center"/>
              <w:rPr>
                <w:rFonts w:ascii="宋体" w:hAnsi="宋体"/>
                <w:color w:val="auto"/>
                <w:szCs w:val="21"/>
              </w:rPr>
            </w:pPr>
          </w:p>
        </w:tc>
        <w:tc>
          <w:tcPr>
            <w:tcW w:w="988" w:type="dxa"/>
            <w:shd w:val="clear" w:color="auto" w:fill="EEECE1"/>
            <w:noWrap/>
            <w:vAlign w:val="center"/>
          </w:tcPr>
          <w:p>
            <w:pPr>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4" w:hRule="atLeast"/>
        </w:trPr>
        <w:tc>
          <w:tcPr>
            <w:tcW w:w="744" w:type="dxa"/>
            <w:shd w:val="clear" w:color="auto" w:fill="auto"/>
            <w:noWrap/>
            <w:vAlign w:val="center"/>
          </w:tcPr>
          <w:p>
            <w:pPr>
              <w:numPr>
                <w:ilvl w:val="0"/>
                <w:numId w:val="11"/>
              </w:numPr>
              <w:jc w:val="center"/>
              <w:rPr>
                <w:rFonts w:ascii="宋体" w:hAnsi="宋体"/>
                <w:color w:val="auto"/>
                <w:szCs w:val="21"/>
              </w:rPr>
            </w:pPr>
          </w:p>
        </w:tc>
        <w:tc>
          <w:tcPr>
            <w:tcW w:w="5532" w:type="dxa"/>
            <w:shd w:val="clear" w:color="auto" w:fill="auto"/>
            <w:noWrap/>
            <w:vAlign w:val="center"/>
          </w:tcPr>
          <w:p>
            <w:pPr>
              <w:pStyle w:val="11"/>
              <w:rPr>
                <w:rFonts w:hAnsi="宋体"/>
                <w:color w:val="auto"/>
                <w:sz w:val="21"/>
                <w:szCs w:val="21"/>
              </w:rPr>
            </w:pPr>
            <w:r>
              <w:rPr>
                <w:rFonts w:hint="eastAsia" w:hAnsi="宋体"/>
                <w:color w:val="auto"/>
                <w:kern w:val="2"/>
                <w:sz w:val="21"/>
                <w:szCs w:val="21"/>
              </w:rPr>
              <w:t>法定代表人证明书</w:t>
            </w:r>
          </w:p>
        </w:tc>
        <w:tc>
          <w:tcPr>
            <w:tcW w:w="729" w:type="dxa"/>
            <w:shd w:val="clear" w:color="auto" w:fill="auto"/>
            <w:noWrap/>
            <w:vAlign w:val="center"/>
          </w:tcPr>
          <w:p>
            <w:pPr>
              <w:jc w:val="center"/>
              <w:rPr>
                <w:rFonts w:ascii="宋体" w:hAnsi="宋体"/>
                <w:color w:val="auto"/>
                <w:szCs w:val="21"/>
              </w:rPr>
            </w:pPr>
          </w:p>
        </w:tc>
        <w:tc>
          <w:tcPr>
            <w:tcW w:w="665" w:type="dxa"/>
            <w:shd w:val="clear" w:color="auto" w:fill="auto"/>
            <w:noWrap/>
            <w:vAlign w:val="center"/>
          </w:tcPr>
          <w:p>
            <w:pPr>
              <w:jc w:val="center"/>
              <w:rPr>
                <w:rFonts w:ascii="宋体" w:hAnsi="宋体"/>
                <w:color w:val="auto"/>
                <w:szCs w:val="21"/>
              </w:rPr>
            </w:pPr>
          </w:p>
        </w:tc>
        <w:tc>
          <w:tcPr>
            <w:tcW w:w="988" w:type="dxa"/>
            <w:shd w:val="clear" w:color="auto" w:fill="EEECE1"/>
            <w:noWrap/>
            <w:vAlign w:val="center"/>
          </w:tcPr>
          <w:p>
            <w:pPr>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4" w:hRule="atLeast"/>
        </w:trPr>
        <w:tc>
          <w:tcPr>
            <w:tcW w:w="744" w:type="dxa"/>
            <w:shd w:val="clear" w:color="auto" w:fill="auto"/>
            <w:noWrap/>
            <w:vAlign w:val="center"/>
          </w:tcPr>
          <w:p>
            <w:pPr>
              <w:numPr>
                <w:ilvl w:val="0"/>
                <w:numId w:val="11"/>
              </w:numPr>
              <w:jc w:val="center"/>
              <w:rPr>
                <w:rFonts w:ascii="宋体" w:hAnsi="宋体"/>
                <w:color w:val="auto"/>
                <w:szCs w:val="21"/>
              </w:rPr>
            </w:pPr>
          </w:p>
        </w:tc>
        <w:tc>
          <w:tcPr>
            <w:tcW w:w="5532" w:type="dxa"/>
            <w:shd w:val="clear" w:color="auto" w:fill="auto"/>
            <w:noWrap/>
            <w:vAlign w:val="center"/>
          </w:tcPr>
          <w:p>
            <w:pPr>
              <w:pStyle w:val="11"/>
              <w:rPr>
                <w:rFonts w:hAnsi="宋体"/>
                <w:color w:val="auto"/>
                <w:kern w:val="2"/>
                <w:sz w:val="21"/>
                <w:szCs w:val="21"/>
              </w:rPr>
            </w:pPr>
            <w:r>
              <w:rPr>
                <w:rFonts w:hint="eastAsia" w:hAnsi="宋体"/>
                <w:color w:val="auto"/>
                <w:sz w:val="21"/>
                <w:szCs w:val="21"/>
              </w:rPr>
              <w:t>报价表</w:t>
            </w:r>
          </w:p>
        </w:tc>
        <w:tc>
          <w:tcPr>
            <w:tcW w:w="729" w:type="dxa"/>
            <w:shd w:val="clear" w:color="auto" w:fill="auto"/>
            <w:noWrap/>
            <w:vAlign w:val="center"/>
          </w:tcPr>
          <w:p>
            <w:pPr>
              <w:jc w:val="center"/>
              <w:rPr>
                <w:rFonts w:ascii="宋体" w:hAnsi="宋体"/>
                <w:color w:val="auto"/>
                <w:szCs w:val="21"/>
              </w:rPr>
            </w:pPr>
          </w:p>
        </w:tc>
        <w:tc>
          <w:tcPr>
            <w:tcW w:w="665" w:type="dxa"/>
            <w:shd w:val="clear" w:color="auto" w:fill="auto"/>
            <w:noWrap/>
            <w:vAlign w:val="center"/>
          </w:tcPr>
          <w:p>
            <w:pPr>
              <w:jc w:val="center"/>
              <w:rPr>
                <w:rFonts w:ascii="宋体" w:hAnsi="宋体"/>
                <w:color w:val="auto"/>
                <w:szCs w:val="21"/>
              </w:rPr>
            </w:pPr>
          </w:p>
        </w:tc>
        <w:tc>
          <w:tcPr>
            <w:tcW w:w="988" w:type="dxa"/>
            <w:shd w:val="clear" w:color="auto" w:fill="EEECE1"/>
            <w:noWrap/>
            <w:vAlign w:val="center"/>
          </w:tcPr>
          <w:p>
            <w:pPr>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4" w:hRule="atLeast"/>
        </w:trPr>
        <w:tc>
          <w:tcPr>
            <w:tcW w:w="744" w:type="dxa"/>
            <w:shd w:val="clear" w:color="auto" w:fill="auto"/>
            <w:noWrap/>
            <w:vAlign w:val="center"/>
          </w:tcPr>
          <w:p>
            <w:pPr>
              <w:numPr>
                <w:ilvl w:val="0"/>
                <w:numId w:val="11"/>
              </w:numPr>
              <w:jc w:val="center"/>
              <w:rPr>
                <w:rFonts w:ascii="宋体" w:hAnsi="宋体"/>
                <w:color w:val="auto"/>
                <w:szCs w:val="21"/>
              </w:rPr>
            </w:pPr>
          </w:p>
        </w:tc>
        <w:tc>
          <w:tcPr>
            <w:tcW w:w="5532" w:type="dxa"/>
            <w:shd w:val="clear" w:color="auto" w:fill="auto"/>
            <w:noWrap/>
            <w:vAlign w:val="center"/>
          </w:tcPr>
          <w:p>
            <w:pPr>
              <w:pStyle w:val="11"/>
              <w:rPr>
                <w:rFonts w:hAnsi="宋体"/>
                <w:color w:val="auto"/>
                <w:sz w:val="21"/>
                <w:szCs w:val="21"/>
              </w:rPr>
            </w:pPr>
            <w:r>
              <w:rPr>
                <w:rFonts w:hint="eastAsia" w:hAnsi="宋体"/>
                <w:color w:val="auto"/>
                <w:sz w:val="21"/>
                <w:szCs w:val="21"/>
              </w:rPr>
              <w:t>招标代理服务费承诺书</w:t>
            </w:r>
          </w:p>
        </w:tc>
        <w:tc>
          <w:tcPr>
            <w:tcW w:w="729" w:type="dxa"/>
            <w:shd w:val="clear" w:color="auto" w:fill="auto"/>
            <w:noWrap/>
            <w:vAlign w:val="center"/>
          </w:tcPr>
          <w:p>
            <w:pPr>
              <w:jc w:val="center"/>
              <w:rPr>
                <w:rFonts w:ascii="宋体" w:hAnsi="宋体"/>
                <w:color w:val="auto"/>
                <w:szCs w:val="21"/>
              </w:rPr>
            </w:pPr>
          </w:p>
        </w:tc>
        <w:tc>
          <w:tcPr>
            <w:tcW w:w="665" w:type="dxa"/>
            <w:shd w:val="clear" w:color="auto" w:fill="auto"/>
            <w:noWrap/>
            <w:vAlign w:val="center"/>
          </w:tcPr>
          <w:p>
            <w:pPr>
              <w:jc w:val="center"/>
              <w:rPr>
                <w:rFonts w:ascii="宋体" w:hAnsi="宋体"/>
                <w:color w:val="auto"/>
                <w:szCs w:val="21"/>
              </w:rPr>
            </w:pPr>
          </w:p>
        </w:tc>
        <w:tc>
          <w:tcPr>
            <w:tcW w:w="988" w:type="dxa"/>
            <w:shd w:val="clear" w:color="auto" w:fill="EEECE1"/>
            <w:noWrap/>
            <w:vAlign w:val="center"/>
          </w:tcPr>
          <w:p>
            <w:pPr>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4" w:hRule="atLeast"/>
        </w:trPr>
        <w:tc>
          <w:tcPr>
            <w:tcW w:w="744" w:type="dxa"/>
            <w:shd w:val="clear" w:color="auto" w:fill="auto"/>
            <w:noWrap/>
            <w:vAlign w:val="center"/>
          </w:tcPr>
          <w:p>
            <w:pPr>
              <w:numPr>
                <w:ilvl w:val="0"/>
                <w:numId w:val="11"/>
              </w:numPr>
              <w:jc w:val="center"/>
              <w:rPr>
                <w:rFonts w:ascii="宋体" w:hAnsi="宋体"/>
                <w:color w:val="auto"/>
                <w:szCs w:val="21"/>
              </w:rPr>
            </w:pPr>
          </w:p>
        </w:tc>
        <w:tc>
          <w:tcPr>
            <w:tcW w:w="5532" w:type="dxa"/>
            <w:shd w:val="clear" w:color="auto" w:fill="auto"/>
            <w:noWrap/>
            <w:vAlign w:val="center"/>
          </w:tcPr>
          <w:p>
            <w:pPr>
              <w:jc w:val="left"/>
              <w:textAlignment w:val="baseline"/>
              <w:rPr>
                <w:rFonts w:ascii="宋体" w:hAnsi="宋体"/>
                <w:color w:val="auto"/>
                <w:szCs w:val="21"/>
              </w:rPr>
            </w:pPr>
            <w:r>
              <w:rPr>
                <w:rFonts w:hint="eastAsia" w:ascii="宋体" w:hAnsi="宋体"/>
                <w:color w:val="auto"/>
                <w:szCs w:val="21"/>
              </w:rPr>
              <w:t>响应供应商认为需要提供的其它说明和资料</w:t>
            </w:r>
          </w:p>
        </w:tc>
        <w:tc>
          <w:tcPr>
            <w:tcW w:w="729" w:type="dxa"/>
            <w:shd w:val="clear" w:color="auto" w:fill="auto"/>
            <w:noWrap/>
            <w:vAlign w:val="center"/>
          </w:tcPr>
          <w:p>
            <w:pPr>
              <w:jc w:val="center"/>
              <w:rPr>
                <w:rFonts w:ascii="宋体" w:hAnsi="宋体"/>
                <w:color w:val="auto"/>
                <w:szCs w:val="21"/>
              </w:rPr>
            </w:pPr>
          </w:p>
        </w:tc>
        <w:tc>
          <w:tcPr>
            <w:tcW w:w="665" w:type="dxa"/>
            <w:shd w:val="clear" w:color="auto" w:fill="auto"/>
            <w:noWrap/>
            <w:vAlign w:val="center"/>
          </w:tcPr>
          <w:p>
            <w:pPr>
              <w:jc w:val="center"/>
              <w:rPr>
                <w:rFonts w:ascii="宋体" w:hAnsi="宋体"/>
                <w:color w:val="auto"/>
                <w:szCs w:val="21"/>
              </w:rPr>
            </w:pPr>
          </w:p>
        </w:tc>
        <w:tc>
          <w:tcPr>
            <w:tcW w:w="988" w:type="dxa"/>
            <w:shd w:val="clear" w:color="auto" w:fill="EEECE1"/>
            <w:noWrap/>
            <w:vAlign w:val="center"/>
          </w:tcPr>
          <w:p>
            <w:pPr>
              <w:jc w:val="center"/>
              <w:rPr>
                <w:rFonts w:ascii="宋体" w:hAnsi="宋体"/>
                <w:color w:val="auto"/>
                <w:szCs w:val="21"/>
              </w:rPr>
            </w:pPr>
          </w:p>
        </w:tc>
      </w:tr>
    </w:tbl>
    <w:p>
      <w:pPr>
        <w:spacing w:line="440" w:lineRule="exact"/>
        <w:rPr>
          <w:rFonts w:ascii="宋体" w:hAnsi="宋体" w:cs="宋体"/>
          <w:b/>
          <w:color w:val="auto"/>
          <w:sz w:val="25"/>
          <w:szCs w:val="25"/>
        </w:rPr>
      </w:pPr>
      <w:r>
        <w:rPr>
          <w:rFonts w:hint="eastAsia" w:ascii="宋体" w:hAnsi="宋体" w:cs="宋体"/>
          <w:b/>
          <w:color w:val="auto"/>
          <w:sz w:val="25"/>
          <w:szCs w:val="25"/>
        </w:rPr>
        <w:t>备注：响应供应商按照上表顺序进行装订文件，密封递交。</w:t>
      </w:r>
      <w:r>
        <w:rPr>
          <w:rFonts w:ascii="宋体" w:hAnsi="宋体" w:cs="宋体"/>
          <w:b/>
          <w:color w:val="auto"/>
          <w:sz w:val="25"/>
          <w:szCs w:val="25"/>
        </w:rPr>
        <w:br w:type="page"/>
      </w:r>
    </w:p>
    <w:p>
      <w:pPr>
        <w:pStyle w:val="6"/>
        <w:tabs>
          <w:tab w:val="left" w:pos="709"/>
        </w:tabs>
        <w:snapToGrid w:val="0"/>
        <w:spacing w:beforeLines="40" w:afterLines="100"/>
        <w:ind w:firstLine="0" w:firstLineChars="0"/>
        <w:jc w:val="center"/>
        <w:rPr>
          <w:rFonts w:ascii="宋体" w:hAnsi="宋体" w:cs="宋体"/>
          <w:b/>
          <w:color w:val="auto"/>
          <w:sz w:val="32"/>
          <w:szCs w:val="32"/>
        </w:rPr>
      </w:pPr>
      <w:r>
        <w:rPr>
          <w:rFonts w:hint="eastAsia" w:ascii="宋体" w:hAnsi="宋体" w:cs="宋体"/>
          <w:b/>
          <w:color w:val="auto"/>
          <w:sz w:val="32"/>
          <w:szCs w:val="32"/>
        </w:rPr>
        <w:t>供应商资格声明函</w:t>
      </w:r>
    </w:p>
    <w:p>
      <w:pPr>
        <w:spacing w:line="360" w:lineRule="auto"/>
        <w:ind w:left="105" w:leftChars="50" w:right="279" w:rightChars="133" w:firstLine="2"/>
        <w:rPr>
          <w:rFonts w:ascii="宋体" w:hAnsi="宋体" w:cs="宋体"/>
          <w:b/>
          <w:color w:val="auto"/>
          <w:szCs w:val="21"/>
        </w:rPr>
      </w:pPr>
      <w:r>
        <w:rPr>
          <w:rFonts w:hint="eastAsia"/>
          <w:b/>
          <w:color w:val="auto"/>
          <w:szCs w:val="21"/>
        </w:rPr>
        <w:t>致：广州市花都区农产品质量安全监督检测中心、</w:t>
      </w:r>
      <w:r>
        <w:rPr>
          <w:rFonts w:hint="eastAsia" w:ascii="宋体" w:hAnsi="宋体" w:cs="宋体"/>
          <w:b/>
          <w:color w:val="auto"/>
          <w:szCs w:val="21"/>
        </w:rPr>
        <w:t>广东秤风采购招标有限公司：</w:t>
      </w:r>
    </w:p>
    <w:p>
      <w:pPr>
        <w:spacing w:line="360" w:lineRule="auto"/>
        <w:ind w:left="105" w:leftChars="50" w:right="279" w:rightChars="133" w:firstLine="420" w:firstLineChars="200"/>
        <w:rPr>
          <w:rFonts w:ascii="宋体" w:hAnsi="宋体" w:cs="宋体"/>
          <w:color w:val="auto"/>
          <w:szCs w:val="21"/>
        </w:rPr>
      </w:pPr>
      <w:r>
        <w:rPr>
          <w:rFonts w:hint="eastAsia" w:ascii="宋体" w:hAnsi="宋体" w:cs="宋体"/>
          <w:color w:val="auto"/>
          <w:szCs w:val="21"/>
        </w:rPr>
        <w:t>关于贵单位、贵公司发布2023年花都区农产品质量安全基层检测技术人员培训及危险化学品使用储存场所安全现状评价和安全技术服务、职业病危害因素检测采购项目公开竞价采购（项目编号：GDCFCG-GDGZ-20230045）的竞价公告，本公司（企业）愿意参加，并声明：</w:t>
      </w:r>
    </w:p>
    <w:p>
      <w:pPr>
        <w:snapToGrid w:val="0"/>
        <w:spacing w:line="360" w:lineRule="auto"/>
        <w:ind w:firstLine="420" w:firstLineChars="200"/>
        <w:rPr>
          <w:rFonts w:ascii="宋体" w:hAnsi="宋体"/>
          <w:bCs/>
          <w:color w:val="auto"/>
          <w:szCs w:val="21"/>
        </w:rPr>
      </w:pPr>
      <w:r>
        <w:rPr>
          <w:rFonts w:hint="eastAsia" w:ascii="宋体" w:hAnsi="宋体"/>
          <w:color w:val="auto"/>
          <w:szCs w:val="21"/>
        </w:rPr>
        <w:t>一、本公司（企业）</w:t>
      </w:r>
      <w:r>
        <w:rPr>
          <w:rFonts w:hint="eastAsia" w:ascii="宋体" w:hAnsi="宋体"/>
          <w:bCs/>
          <w:color w:val="auto"/>
          <w:szCs w:val="21"/>
        </w:rPr>
        <w:t>具备《中华人民共和国政府采购法》第二十二条规定的条件：</w:t>
      </w:r>
    </w:p>
    <w:p>
      <w:pPr>
        <w:widowControl/>
        <w:spacing w:line="360" w:lineRule="auto"/>
        <w:ind w:firstLine="360"/>
        <w:rPr>
          <w:rFonts w:ascii="宋体" w:hAnsi="宋体" w:cs="宋体"/>
          <w:color w:val="auto"/>
          <w:kern w:val="0"/>
          <w:szCs w:val="21"/>
        </w:rPr>
      </w:pPr>
      <w:r>
        <w:rPr>
          <w:rFonts w:hint="eastAsia" w:ascii="宋体" w:hAnsi="宋体" w:cs="宋体"/>
          <w:color w:val="auto"/>
          <w:kern w:val="0"/>
          <w:szCs w:val="21"/>
        </w:rPr>
        <w:t>（一）具有独立承担民事责任的能力；</w:t>
      </w:r>
    </w:p>
    <w:p>
      <w:pPr>
        <w:widowControl/>
        <w:spacing w:line="360" w:lineRule="auto"/>
        <w:ind w:firstLine="360"/>
        <w:rPr>
          <w:rFonts w:ascii="宋体" w:hAnsi="宋体" w:cs="宋体"/>
          <w:color w:val="auto"/>
          <w:kern w:val="0"/>
          <w:szCs w:val="21"/>
        </w:rPr>
      </w:pPr>
      <w:r>
        <w:rPr>
          <w:rFonts w:hint="eastAsia" w:ascii="宋体" w:hAnsi="宋体" w:cs="宋体"/>
          <w:color w:val="auto"/>
          <w:kern w:val="0"/>
          <w:szCs w:val="21"/>
        </w:rPr>
        <w:t>（二）具有良好的商业信誉和健全的财务会计制度；</w:t>
      </w:r>
    </w:p>
    <w:p>
      <w:pPr>
        <w:widowControl/>
        <w:spacing w:line="360" w:lineRule="auto"/>
        <w:ind w:firstLine="360"/>
        <w:rPr>
          <w:rFonts w:ascii="宋体" w:hAnsi="宋体" w:cs="宋体"/>
          <w:color w:val="auto"/>
          <w:kern w:val="0"/>
          <w:szCs w:val="21"/>
        </w:rPr>
      </w:pPr>
      <w:r>
        <w:rPr>
          <w:rFonts w:hint="eastAsia" w:ascii="宋体" w:hAnsi="宋体" w:cs="宋体"/>
          <w:color w:val="auto"/>
          <w:kern w:val="0"/>
          <w:szCs w:val="21"/>
        </w:rPr>
        <w:t>（三）具有履行合同所必需的设备和专业技术能力；</w:t>
      </w:r>
    </w:p>
    <w:p>
      <w:pPr>
        <w:widowControl/>
        <w:spacing w:line="360" w:lineRule="auto"/>
        <w:ind w:firstLine="360"/>
        <w:rPr>
          <w:rFonts w:ascii="宋体" w:hAnsi="宋体" w:cs="宋体"/>
          <w:color w:val="auto"/>
          <w:kern w:val="0"/>
          <w:szCs w:val="21"/>
        </w:rPr>
      </w:pPr>
      <w:r>
        <w:rPr>
          <w:rFonts w:hint="eastAsia" w:ascii="宋体" w:hAnsi="宋体" w:cs="宋体"/>
          <w:color w:val="auto"/>
          <w:kern w:val="0"/>
          <w:szCs w:val="21"/>
        </w:rPr>
        <w:t>（四）有依法缴纳税收和社会保障资金的良好记录；</w:t>
      </w:r>
    </w:p>
    <w:p>
      <w:pPr>
        <w:widowControl/>
        <w:spacing w:line="360" w:lineRule="auto"/>
        <w:ind w:firstLine="360"/>
        <w:rPr>
          <w:rFonts w:ascii="宋体" w:hAnsi="宋体" w:cs="宋体"/>
          <w:color w:val="auto"/>
          <w:kern w:val="0"/>
          <w:szCs w:val="21"/>
        </w:rPr>
      </w:pPr>
      <w:r>
        <w:rPr>
          <w:rFonts w:hint="eastAsia" w:ascii="宋体" w:hAnsi="宋体" w:cs="宋体"/>
          <w:color w:val="auto"/>
          <w:kern w:val="0"/>
          <w:szCs w:val="21"/>
        </w:rPr>
        <w:t>（五）参加政府采购活动前三年内，在经营活动中没有重大违法记录；</w:t>
      </w:r>
    </w:p>
    <w:p>
      <w:pPr>
        <w:widowControl/>
        <w:spacing w:line="360" w:lineRule="auto"/>
        <w:ind w:firstLine="360"/>
        <w:rPr>
          <w:rFonts w:ascii="宋体" w:hAnsi="宋体" w:cs="宋体"/>
          <w:color w:val="auto"/>
          <w:kern w:val="0"/>
          <w:szCs w:val="21"/>
        </w:rPr>
      </w:pPr>
      <w:r>
        <w:rPr>
          <w:rFonts w:hint="eastAsia" w:ascii="宋体" w:hAnsi="宋体" w:cs="宋体"/>
          <w:color w:val="auto"/>
          <w:kern w:val="0"/>
          <w:szCs w:val="21"/>
        </w:rPr>
        <w:t>（六）法律、行政法规规定的其他条件。</w:t>
      </w:r>
    </w:p>
    <w:p>
      <w:pPr>
        <w:snapToGrid w:val="0"/>
        <w:spacing w:line="360" w:lineRule="auto"/>
        <w:ind w:firstLine="424" w:firstLineChars="202"/>
        <w:rPr>
          <w:rFonts w:ascii="宋体" w:hAnsi="宋体"/>
          <w:color w:val="auto"/>
          <w:szCs w:val="21"/>
        </w:rPr>
      </w:pPr>
      <w:r>
        <w:rPr>
          <w:rFonts w:hint="eastAsia" w:ascii="宋体" w:hAnsi="宋体"/>
          <w:color w:val="auto"/>
          <w:szCs w:val="21"/>
        </w:rPr>
        <w:t>二、本公司具有本次采购项目服务能力。</w:t>
      </w:r>
    </w:p>
    <w:p>
      <w:pPr>
        <w:snapToGrid w:val="0"/>
        <w:spacing w:line="360" w:lineRule="auto"/>
        <w:ind w:firstLine="424" w:firstLineChars="202"/>
        <w:rPr>
          <w:rFonts w:ascii="宋体" w:hAnsi="宋体"/>
          <w:color w:val="auto"/>
          <w:szCs w:val="21"/>
        </w:rPr>
      </w:pPr>
      <w:r>
        <w:rPr>
          <w:rFonts w:hint="eastAsia" w:ascii="宋体" w:hAnsi="宋体"/>
          <w:color w:val="auto"/>
          <w:szCs w:val="21"/>
        </w:rPr>
        <w:t>三、本公司有固定的经营场所，信誉良好、售后维护服务好，并且在经营活动中无严重违法记录。</w:t>
      </w:r>
    </w:p>
    <w:p>
      <w:pPr>
        <w:snapToGrid w:val="0"/>
        <w:spacing w:line="360" w:lineRule="auto"/>
        <w:ind w:firstLine="424" w:firstLineChars="202"/>
        <w:rPr>
          <w:rFonts w:ascii="宋体" w:hAnsi="宋体"/>
          <w:color w:val="auto"/>
          <w:szCs w:val="21"/>
        </w:rPr>
      </w:pPr>
      <w:r>
        <w:rPr>
          <w:rFonts w:hint="eastAsia" w:ascii="宋体" w:hAnsi="宋体"/>
          <w:color w:val="auto"/>
          <w:szCs w:val="21"/>
        </w:rPr>
        <w:t>四、本公司在本项目中不转包且不联合竞价。</w:t>
      </w:r>
    </w:p>
    <w:p>
      <w:pPr>
        <w:snapToGrid w:val="0"/>
        <w:spacing w:line="360" w:lineRule="auto"/>
        <w:ind w:firstLine="424" w:firstLineChars="202"/>
        <w:rPr>
          <w:rFonts w:ascii="宋体" w:hAnsi="宋体"/>
          <w:color w:val="auto"/>
          <w:szCs w:val="21"/>
        </w:rPr>
      </w:pPr>
      <w:r>
        <w:rPr>
          <w:rFonts w:hint="eastAsia" w:ascii="宋体" w:hAnsi="宋体"/>
          <w:color w:val="auto"/>
          <w:szCs w:val="21"/>
        </w:rPr>
        <w:t>本公司（企业）承诺在本次采购活动中，如有违法、违规、弄虚作假行为，所造成的损失、不良后果及法律责任，一律由我公司（企业）承担。</w:t>
      </w:r>
    </w:p>
    <w:p>
      <w:pPr>
        <w:spacing w:line="360" w:lineRule="auto"/>
        <w:ind w:firstLine="420"/>
        <w:rPr>
          <w:color w:val="auto"/>
          <w:szCs w:val="21"/>
        </w:rPr>
      </w:pPr>
      <w:r>
        <w:rPr>
          <w:rFonts w:hint="eastAsia"/>
          <w:color w:val="auto"/>
          <w:szCs w:val="21"/>
        </w:rPr>
        <w:t>特此声明！</w:t>
      </w:r>
    </w:p>
    <w:p>
      <w:pPr>
        <w:autoSpaceDE w:val="0"/>
        <w:autoSpaceDN w:val="0"/>
        <w:adjustRightInd w:val="0"/>
        <w:spacing w:line="360" w:lineRule="auto"/>
        <w:ind w:firstLine="413" w:firstLineChars="196"/>
        <w:rPr>
          <w:rFonts w:ascii="宋体" w:hAnsi="宋体"/>
          <w:b/>
          <w:color w:val="auto"/>
          <w:szCs w:val="21"/>
        </w:rPr>
      </w:pPr>
      <w:r>
        <w:rPr>
          <w:rFonts w:hint="eastAsia" w:ascii="宋体" w:hAnsi="宋体"/>
          <w:b/>
          <w:color w:val="auto"/>
          <w:szCs w:val="21"/>
        </w:rPr>
        <w:t>备注：</w:t>
      </w:r>
    </w:p>
    <w:p>
      <w:pPr>
        <w:pStyle w:val="45"/>
        <w:numPr>
          <w:ilvl w:val="0"/>
          <w:numId w:val="12"/>
        </w:numPr>
        <w:autoSpaceDE w:val="0"/>
        <w:autoSpaceDN w:val="0"/>
        <w:adjustRightInd w:val="0"/>
        <w:spacing w:line="360" w:lineRule="auto"/>
        <w:ind w:firstLineChars="0"/>
        <w:rPr>
          <w:rFonts w:ascii="宋体" w:hAnsi="宋体"/>
          <w:color w:val="auto"/>
          <w:szCs w:val="21"/>
        </w:rPr>
      </w:pPr>
      <w:r>
        <w:rPr>
          <w:rFonts w:hint="eastAsia" w:ascii="宋体" w:hAnsi="宋体"/>
          <w:color w:val="auto"/>
          <w:szCs w:val="21"/>
        </w:rPr>
        <w:t>本声明函必须提供且内容不得擅自删改，否则视为响应无效。</w:t>
      </w:r>
    </w:p>
    <w:p>
      <w:pPr>
        <w:pStyle w:val="45"/>
        <w:numPr>
          <w:ilvl w:val="0"/>
          <w:numId w:val="12"/>
        </w:numPr>
        <w:snapToGrid w:val="0"/>
        <w:spacing w:line="360" w:lineRule="auto"/>
        <w:ind w:firstLineChars="0"/>
        <w:rPr>
          <w:rFonts w:ascii="宋体" w:hAnsi="宋体"/>
          <w:color w:val="auto"/>
          <w:szCs w:val="21"/>
        </w:rPr>
      </w:pPr>
      <w:r>
        <w:rPr>
          <w:rFonts w:hint="eastAsia" w:ascii="宋体" w:hAnsi="宋体"/>
          <w:color w:val="auto"/>
          <w:szCs w:val="21"/>
        </w:rPr>
        <w:t>本声明函如有虚假或与事实不符的，作无效报价处理。</w:t>
      </w:r>
    </w:p>
    <w:p>
      <w:pPr>
        <w:autoSpaceDE w:val="0"/>
        <w:autoSpaceDN w:val="0"/>
        <w:adjustRightInd w:val="0"/>
        <w:spacing w:line="360" w:lineRule="auto"/>
        <w:rPr>
          <w:rFonts w:ascii="宋体" w:hAnsi="宋体"/>
          <w:b/>
          <w:color w:val="auto"/>
          <w:szCs w:val="21"/>
        </w:rPr>
      </w:pPr>
    </w:p>
    <w:p>
      <w:pPr>
        <w:spacing w:line="360" w:lineRule="auto"/>
        <w:rPr>
          <w:color w:val="auto"/>
          <w:szCs w:val="21"/>
          <w:u w:val="single"/>
        </w:rPr>
      </w:pPr>
      <w:r>
        <w:rPr>
          <w:rFonts w:hint="eastAsia"/>
          <w:color w:val="auto"/>
          <w:szCs w:val="21"/>
        </w:rPr>
        <w:t>供应商名称</w:t>
      </w:r>
      <w:r>
        <w:rPr>
          <w:rFonts w:hint="eastAsia" w:ascii="宋体"/>
          <w:color w:val="auto"/>
          <w:szCs w:val="21"/>
        </w:rPr>
        <w:t>（</w:t>
      </w:r>
      <w:r>
        <w:rPr>
          <w:rFonts w:hint="eastAsia" w:ascii="宋体" w:hAnsi="宋体"/>
          <w:color w:val="auto"/>
          <w:szCs w:val="21"/>
        </w:rPr>
        <w:t>单位盖</w:t>
      </w:r>
      <w:r>
        <w:rPr>
          <w:rFonts w:hint="eastAsia"/>
          <w:color w:val="auto"/>
          <w:spacing w:val="4"/>
          <w:szCs w:val="21"/>
        </w:rPr>
        <w:t>公章</w:t>
      </w:r>
      <w:r>
        <w:rPr>
          <w:rFonts w:hint="eastAsia" w:ascii="宋体"/>
          <w:color w:val="auto"/>
          <w:szCs w:val="21"/>
        </w:rPr>
        <w:t>）</w:t>
      </w:r>
      <w:r>
        <w:rPr>
          <w:rFonts w:hint="eastAsia"/>
          <w:color w:val="auto"/>
          <w:szCs w:val="21"/>
        </w:rPr>
        <w:t>：</w:t>
      </w:r>
    </w:p>
    <w:p>
      <w:pPr>
        <w:spacing w:line="360" w:lineRule="auto"/>
        <w:rPr>
          <w:color w:val="auto"/>
          <w:szCs w:val="21"/>
          <w:u w:val="single"/>
        </w:rPr>
      </w:pPr>
      <w:r>
        <w:rPr>
          <w:rFonts w:hint="eastAsia"/>
          <w:color w:val="auto"/>
          <w:szCs w:val="21"/>
        </w:rPr>
        <w:t>日期：</w:t>
      </w:r>
    </w:p>
    <w:p>
      <w:pPr>
        <w:spacing w:line="440" w:lineRule="exact"/>
        <w:rPr>
          <w:rFonts w:ascii="黑体" w:eastAsia="黑体"/>
          <w:bCs/>
          <w:color w:val="auto"/>
          <w:sz w:val="28"/>
        </w:rPr>
      </w:pPr>
      <w:r>
        <w:rPr>
          <w:rFonts w:ascii="黑体" w:eastAsia="黑体"/>
          <w:bCs/>
          <w:color w:val="auto"/>
          <w:sz w:val="28"/>
        </w:rPr>
        <w:br w:type="page"/>
      </w:r>
    </w:p>
    <w:p>
      <w:pPr>
        <w:pStyle w:val="6"/>
        <w:tabs>
          <w:tab w:val="left" w:pos="709"/>
        </w:tabs>
        <w:snapToGrid w:val="0"/>
        <w:spacing w:beforeLines="40" w:afterLines="100"/>
        <w:ind w:firstLine="0" w:firstLineChars="0"/>
        <w:jc w:val="center"/>
        <w:rPr>
          <w:rFonts w:ascii="宋体" w:hAnsi="宋体" w:cs="宋体"/>
          <w:b/>
          <w:color w:val="auto"/>
          <w:sz w:val="32"/>
          <w:szCs w:val="32"/>
        </w:rPr>
      </w:pPr>
      <w:r>
        <w:rPr>
          <w:rFonts w:hint="eastAsia" w:ascii="宋体" w:hAnsi="宋体" w:cs="宋体"/>
          <w:b/>
          <w:color w:val="auto"/>
          <w:sz w:val="32"/>
          <w:szCs w:val="32"/>
        </w:rPr>
        <w:t>用户需求书响应声明函</w:t>
      </w:r>
    </w:p>
    <w:p>
      <w:pPr>
        <w:spacing w:line="360" w:lineRule="auto"/>
        <w:ind w:left="105" w:leftChars="50" w:right="279" w:rightChars="133" w:firstLine="2"/>
        <w:rPr>
          <w:rFonts w:ascii="宋体" w:hAnsi="宋体" w:cs="宋体"/>
          <w:b/>
          <w:color w:val="auto"/>
          <w:szCs w:val="21"/>
        </w:rPr>
      </w:pPr>
      <w:r>
        <w:rPr>
          <w:rFonts w:hint="eastAsia"/>
          <w:b/>
          <w:color w:val="auto"/>
          <w:szCs w:val="21"/>
        </w:rPr>
        <w:t>致：广州市花都区农产品质量安全监督检测中心、</w:t>
      </w:r>
      <w:r>
        <w:rPr>
          <w:rFonts w:hint="eastAsia" w:ascii="宋体" w:hAnsi="宋体" w:cs="宋体"/>
          <w:b/>
          <w:color w:val="auto"/>
          <w:szCs w:val="21"/>
        </w:rPr>
        <w:t>广东秤风采购招标有限公司：</w:t>
      </w:r>
    </w:p>
    <w:p>
      <w:pPr>
        <w:spacing w:line="360" w:lineRule="auto"/>
        <w:ind w:left="105" w:leftChars="50" w:right="279" w:rightChars="133" w:firstLine="420" w:firstLineChars="200"/>
        <w:rPr>
          <w:rFonts w:ascii="宋体" w:hAnsi="宋体" w:cs="宋体"/>
          <w:color w:val="auto"/>
          <w:szCs w:val="21"/>
        </w:rPr>
      </w:pPr>
      <w:r>
        <w:rPr>
          <w:rFonts w:hint="eastAsia" w:ascii="宋体" w:hAnsi="宋体" w:cs="宋体"/>
          <w:color w:val="auto"/>
          <w:szCs w:val="21"/>
        </w:rPr>
        <w:t>关于贵单位、贵公司发布2023年花都区农产品质量安全基层检测技术人员培训及危险化学品使用储存场所安全现状评价和安全技术服务、职业病危害因素检测采购项目公开竞价采购（项目编号：GDCFCG-GDGZ-20230045）的竞价公告，本公司（企业）愿意参加，并声明：</w:t>
      </w:r>
    </w:p>
    <w:p>
      <w:pPr>
        <w:pStyle w:val="52"/>
        <w:tabs>
          <w:tab w:val="left" w:pos="426"/>
        </w:tabs>
        <w:snapToGrid w:val="0"/>
        <w:spacing w:beforeLines="50" w:line="360" w:lineRule="auto"/>
        <w:ind w:firstLineChars="0"/>
        <w:rPr>
          <w:rFonts w:ascii="宋体" w:hAnsi="宋体"/>
          <w:color w:val="auto"/>
        </w:rPr>
      </w:pPr>
      <w:r>
        <w:rPr>
          <w:rFonts w:hint="eastAsia" w:ascii="宋体" w:hAnsi="宋体"/>
          <w:color w:val="auto"/>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52"/>
        <w:tabs>
          <w:tab w:val="left" w:pos="426"/>
        </w:tabs>
        <w:snapToGrid w:val="0"/>
        <w:spacing w:beforeLines="50" w:line="360" w:lineRule="auto"/>
        <w:ind w:firstLineChars="0"/>
        <w:rPr>
          <w:rFonts w:ascii="宋体" w:hAnsi="宋体" w:cs="宋体"/>
          <w:color w:val="auto"/>
        </w:rPr>
      </w:pPr>
      <w:r>
        <w:rPr>
          <w:rFonts w:hint="eastAsia" w:ascii="宋体" w:hAnsi="宋体" w:cs="宋体"/>
          <w:color w:val="auto"/>
        </w:rPr>
        <w:t>本公司（企业）承诺在本次采购活动中，如有违法、违规、弄虚作假行为，所造成的损失、不良后果及法律责任，一律由我公司（企业）承担。</w:t>
      </w:r>
    </w:p>
    <w:p>
      <w:pPr>
        <w:autoSpaceDE w:val="0"/>
        <w:autoSpaceDN w:val="0"/>
        <w:adjustRightInd w:val="0"/>
        <w:spacing w:beforeLines="50" w:line="360" w:lineRule="auto"/>
        <w:ind w:firstLine="413" w:firstLineChars="196"/>
        <w:rPr>
          <w:rFonts w:ascii="宋体" w:hAnsi="宋体"/>
          <w:b/>
          <w:color w:val="auto"/>
          <w:szCs w:val="21"/>
        </w:rPr>
      </w:pPr>
      <w:r>
        <w:rPr>
          <w:rFonts w:hint="eastAsia" w:ascii="宋体" w:hAnsi="宋体"/>
          <w:b/>
          <w:color w:val="auto"/>
          <w:szCs w:val="21"/>
        </w:rPr>
        <w:t>备注：</w:t>
      </w:r>
    </w:p>
    <w:p>
      <w:pPr>
        <w:pStyle w:val="45"/>
        <w:numPr>
          <w:ilvl w:val="0"/>
          <w:numId w:val="13"/>
        </w:numPr>
        <w:autoSpaceDE w:val="0"/>
        <w:autoSpaceDN w:val="0"/>
        <w:adjustRightInd w:val="0"/>
        <w:spacing w:beforeLines="50" w:line="360" w:lineRule="auto"/>
        <w:ind w:firstLineChars="0"/>
        <w:rPr>
          <w:rFonts w:ascii="宋体" w:hAnsi="宋体"/>
          <w:color w:val="auto"/>
          <w:szCs w:val="21"/>
        </w:rPr>
      </w:pPr>
      <w:r>
        <w:rPr>
          <w:rFonts w:hint="eastAsia" w:ascii="宋体" w:hAnsi="宋体"/>
          <w:color w:val="auto"/>
          <w:szCs w:val="21"/>
        </w:rPr>
        <w:t>本声明函必须提供且内容不得擅自删改，否则视为响应无效。</w:t>
      </w:r>
    </w:p>
    <w:p>
      <w:pPr>
        <w:pStyle w:val="45"/>
        <w:numPr>
          <w:ilvl w:val="0"/>
          <w:numId w:val="13"/>
        </w:numPr>
        <w:snapToGrid w:val="0"/>
        <w:spacing w:beforeLines="50" w:line="360" w:lineRule="auto"/>
        <w:ind w:firstLineChars="0"/>
        <w:rPr>
          <w:rFonts w:ascii="宋体" w:hAnsi="宋体"/>
          <w:color w:val="auto"/>
          <w:szCs w:val="21"/>
        </w:rPr>
      </w:pPr>
      <w:r>
        <w:rPr>
          <w:rFonts w:hint="eastAsia" w:ascii="宋体" w:hAnsi="宋体"/>
          <w:color w:val="auto"/>
          <w:szCs w:val="21"/>
        </w:rPr>
        <w:t>本声明函如有虚假或与事实不符的，作无效报价处理。</w:t>
      </w:r>
    </w:p>
    <w:p>
      <w:pPr>
        <w:widowControl/>
        <w:spacing w:beforeLines="50" w:line="360" w:lineRule="auto"/>
        <w:jc w:val="left"/>
        <w:rPr>
          <w:rFonts w:ascii="宋体" w:hAnsi="宋体"/>
          <w:b/>
          <w:bCs/>
          <w:color w:val="auto"/>
          <w:kern w:val="0"/>
          <w:szCs w:val="21"/>
        </w:rPr>
      </w:pPr>
    </w:p>
    <w:p>
      <w:pPr>
        <w:spacing w:line="360" w:lineRule="auto"/>
        <w:rPr>
          <w:color w:val="auto"/>
          <w:szCs w:val="21"/>
          <w:u w:val="single"/>
        </w:rPr>
      </w:pPr>
      <w:r>
        <w:rPr>
          <w:rFonts w:hint="eastAsia"/>
          <w:color w:val="auto"/>
          <w:szCs w:val="21"/>
        </w:rPr>
        <w:t>供应商名称</w:t>
      </w:r>
      <w:r>
        <w:rPr>
          <w:rFonts w:hint="eastAsia" w:ascii="宋体"/>
          <w:color w:val="auto"/>
          <w:szCs w:val="21"/>
        </w:rPr>
        <w:t>（</w:t>
      </w:r>
      <w:r>
        <w:rPr>
          <w:rFonts w:hint="eastAsia" w:ascii="宋体" w:hAnsi="宋体"/>
          <w:color w:val="auto"/>
          <w:szCs w:val="21"/>
        </w:rPr>
        <w:t>单位盖</w:t>
      </w:r>
      <w:r>
        <w:rPr>
          <w:rFonts w:hint="eastAsia"/>
          <w:color w:val="auto"/>
          <w:spacing w:val="4"/>
          <w:szCs w:val="21"/>
        </w:rPr>
        <w:t>公章</w:t>
      </w:r>
      <w:r>
        <w:rPr>
          <w:rFonts w:hint="eastAsia" w:ascii="宋体"/>
          <w:color w:val="auto"/>
          <w:szCs w:val="21"/>
        </w:rPr>
        <w:t>）</w:t>
      </w:r>
      <w:r>
        <w:rPr>
          <w:rFonts w:hint="eastAsia"/>
          <w:color w:val="auto"/>
          <w:szCs w:val="21"/>
        </w:rPr>
        <w:t>：</w:t>
      </w:r>
    </w:p>
    <w:p>
      <w:pPr>
        <w:spacing w:line="360" w:lineRule="auto"/>
        <w:rPr>
          <w:color w:val="auto"/>
          <w:szCs w:val="21"/>
          <w:u w:val="single"/>
        </w:rPr>
      </w:pPr>
      <w:r>
        <w:rPr>
          <w:rFonts w:hint="eastAsia"/>
          <w:color w:val="auto"/>
          <w:szCs w:val="21"/>
        </w:rPr>
        <w:t>日期：</w:t>
      </w:r>
    </w:p>
    <w:p>
      <w:pPr>
        <w:spacing w:line="560" w:lineRule="exact"/>
        <w:rPr>
          <w:rFonts w:ascii="宋体" w:hAnsi="宋体" w:cs="宋体"/>
          <w:color w:val="auto"/>
          <w:szCs w:val="21"/>
        </w:rPr>
      </w:pPr>
    </w:p>
    <w:p>
      <w:pPr>
        <w:spacing w:line="560" w:lineRule="exact"/>
        <w:rPr>
          <w:rFonts w:ascii="宋体" w:hAnsi="宋体" w:cs="宋体"/>
          <w:color w:val="auto"/>
          <w:szCs w:val="21"/>
        </w:rPr>
      </w:pPr>
    </w:p>
    <w:p>
      <w:pPr>
        <w:spacing w:line="560" w:lineRule="exact"/>
        <w:rPr>
          <w:rFonts w:ascii="宋体" w:hAnsi="宋体" w:cs="宋体"/>
          <w:color w:val="auto"/>
          <w:szCs w:val="21"/>
        </w:rPr>
      </w:pPr>
    </w:p>
    <w:p>
      <w:pPr>
        <w:spacing w:line="560" w:lineRule="exact"/>
        <w:rPr>
          <w:rFonts w:ascii="宋体" w:hAnsi="宋体" w:cs="宋体"/>
          <w:color w:val="auto"/>
          <w:szCs w:val="21"/>
        </w:rPr>
      </w:pPr>
    </w:p>
    <w:p>
      <w:pPr>
        <w:spacing w:line="560" w:lineRule="exact"/>
        <w:rPr>
          <w:rFonts w:ascii="宋体" w:hAnsi="宋体" w:cs="宋体"/>
          <w:color w:val="auto"/>
          <w:szCs w:val="21"/>
        </w:rPr>
      </w:pPr>
    </w:p>
    <w:p>
      <w:pPr>
        <w:pStyle w:val="30"/>
        <w:rPr>
          <w:color w:val="auto"/>
        </w:rPr>
      </w:pPr>
    </w:p>
    <w:p>
      <w:pPr>
        <w:spacing w:line="440" w:lineRule="exact"/>
        <w:rPr>
          <w:rFonts w:ascii="黑体" w:eastAsia="黑体"/>
          <w:bCs/>
          <w:color w:val="auto"/>
          <w:sz w:val="28"/>
        </w:rPr>
      </w:pPr>
    </w:p>
    <w:p>
      <w:pPr>
        <w:pStyle w:val="30"/>
        <w:rPr>
          <w:rFonts w:ascii="黑体" w:eastAsia="黑体"/>
          <w:color w:val="auto"/>
          <w:sz w:val="28"/>
        </w:rPr>
      </w:pPr>
    </w:p>
    <w:p>
      <w:pPr>
        <w:pStyle w:val="30"/>
        <w:rPr>
          <w:rFonts w:ascii="黑体" w:eastAsia="黑体"/>
          <w:color w:val="auto"/>
          <w:sz w:val="28"/>
        </w:rPr>
      </w:pPr>
    </w:p>
    <w:p>
      <w:pPr>
        <w:pStyle w:val="6"/>
        <w:tabs>
          <w:tab w:val="left" w:pos="709"/>
        </w:tabs>
        <w:snapToGrid w:val="0"/>
        <w:spacing w:beforeLines="40" w:afterLines="100"/>
        <w:ind w:firstLine="0" w:firstLineChars="0"/>
        <w:jc w:val="center"/>
        <w:rPr>
          <w:rFonts w:ascii="宋体" w:hAnsi="宋体" w:cs="宋体"/>
          <w:b/>
          <w:color w:val="auto"/>
          <w:sz w:val="32"/>
          <w:szCs w:val="32"/>
        </w:rPr>
      </w:pPr>
      <w:r>
        <w:rPr>
          <w:rFonts w:hint="eastAsia" w:ascii="宋体" w:hAnsi="宋体" w:cs="宋体"/>
          <w:b/>
          <w:color w:val="auto"/>
          <w:sz w:val="32"/>
          <w:szCs w:val="32"/>
        </w:rPr>
        <w:t>法定代表人授权委托书</w:t>
      </w:r>
    </w:p>
    <w:p>
      <w:pPr>
        <w:pStyle w:val="11"/>
        <w:spacing w:line="360" w:lineRule="auto"/>
        <w:ind w:right="84" w:rightChars="40" w:firstLine="420" w:firstLineChars="200"/>
        <w:rPr>
          <w:rFonts w:hAnsi="宋体" w:cs="宋体"/>
          <w:color w:val="auto"/>
          <w:sz w:val="21"/>
          <w:szCs w:val="21"/>
        </w:rPr>
      </w:pPr>
      <w:r>
        <w:rPr>
          <w:rFonts w:hint="eastAsia" w:hAnsi="宋体" w:cs="宋体"/>
          <w:color w:val="auto"/>
          <w:sz w:val="21"/>
          <w:szCs w:val="21"/>
        </w:rPr>
        <w:t>本授权委托书声明：注册于</w:t>
      </w:r>
      <w:r>
        <w:rPr>
          <w:rFonts w:hint="eastAsia" w:hAnsi="宋体" w:cs="宋体"/>
          <w:color w:val="auto"/>
          <w:sz w:val="21"/>
          <w:szCs w:val="21"/>
          <w:u w:val="single"/>
        </w:rPr>
        <w:t xml:space="preserve">    （响应供应商地址）  </w:t>
      </w:r>
      <w:r>
        <w:rPr>
          <w:rFonts w:hint="eastAsia" w:hAnsi="宋体" w:cs="宋体"/>
          <w:color w:val="auto"/>
          <w:sz w:val="21"/>
          <w:szCs w:val="21"/>
        </w:rPr>
        <w:t>的</w:t>
      </w:r>
      <w:r>
        <w:rPr>
          <w:rFonts w:hint="eastAsia" w:hAnsi="宋体" w:cs="宋体"/>
          <w:color w:val="auto"/>
          <w:sz w:val="21"/>
          <w:szCs w:val="21"/>
          <w:u w:val="single"/>
        </w:rPr>
        <w:t xml:space="preserve">  （响应供应商名称）    </w:t>
      </w:r>
      <w:r>
        <w:rPr>
          <w:rFonts w:hint="eastAsia" w:hAnsi="宋体" w:cs="宋体"/>
          <w:color w:val="auto"/>
          <w:sz w:val="21"/>
          <w:szCs w:val="21"/>
        </w:rPr>
        <w:t>在下面签名的</w:t>
      </w:r>
      <w:r>
        <w:rPr>
          <w:rFonts w:hint="eastAsia" w:hAnsi="宋体" w:cs="宋体"/>
          <w:color w:val="auto"/>
          <w:sz w:val="21"/>
          <w:szCs w:val="21"/>
          <w:u w:val="single"/>
        </w:rPr>
        <w:t>（法定代表人姓名、职务）</w:t>
      </w:r>
      <w:r>
        <w:rPr>
          <w:rFonts w:hint="eastAsia" w:hAnsi="宋体" w:cs="宋体"/>
          <w:color w:val="auto"/>
          <w:sz w:val="21"/>
          <w:szCs w:val="21"/>
        </w:rPr>
        <w:t>在此授权</w:t>
      </w:r>
      <w:r>
        <w:rPr>
          <w:rFonts w:hint="eastAsia" w:hAnsi="宋体" w:cs="宋体"/>
          <w:color w:val="auto"/>
          <w:sz w:val="21"/>
          <w:szCs w:val="21"/>
          <w:u w:val="single"/>
        </w:rPr>
        <w:t>（被授权人姓名、联系方式）</w:t>
      </w:r>
      <w:r>
        <w:rPr>
          <w:rFonts w:hint="eastAsia" w:hAnsi="宋体" w:cs="宋体"/>
          <w:color w:val="auto"/>
          <w:sz w:val="21"/>
          <w:szCs w:val="21"/>
        </w:rPr>
        <w:t>作为我公司的合法代理人，就</w:t>
      </w:r>
      <w:r>
        <w:rPr>
          <w:rFonts w:hint="eastAsia" w:hAnsi="宋体" w:cs="宋体"/>
          <w:color w:val="auto"/>
          <w:sz w:val="21"/>
          <w:szCs w:val="21"/>
          <w:u w:val="single"/>
        </w:rPr>
        <w:t>2023年花都区农产品质量安全基层检测技术人员培训及危险化学品使用储存场所安全现状评价和安全技术服务、职业病危害因素检测采购项目公开竞价采购（项目编号：GDCFCG-GDGZ-20230045）</w:t>
      </w:r>
      <w:r>
        <w:rPr>
          <w:rFonts w:hint="eastAsia" w:hAnsi="宋体" w:cs="宋体"/>
          <w:color w:val="auto"/>
          <w:sz w:val="21"/>
          <w:szCs w:val="21"/>
        </w:rPr>
        <w:t>的竞价活动，合同的签订、执行、完成和售后服务，作为响应供应商代表以我方的名义处理一切与之有关的事务。</w:t>
      </w:r>
    </w:p>
    <w:p>
      <w:pPr>
        <w:pStyle w:val="11"/>
        <w:spacing w:line="360" w:lineRule="auto"/>
        <w:ind w:right="279" w:rightChars="133" w:firstLine="420" w:firstLineChars="200"/>
        <w:rPr>
          <w:rFonts w:hAnsi="宋体" w:cs="宋体"/>
          <w:color w:val="auto"/>
          <w:sz w:val="21"/>
          <w:szCs w:val="21"/>
        </w:rPr>
      </w:pPr>
      <w:r>
        <w:rPr>
          <w:rFonts w:hint="eastAsia" w:hAnsi="宋体" w:cs="宋体"/>
          <w:color w:val="auto"/>
          <w:sz w:val="21"/>
          <w:szCs w:val="21"/>
        </w:rPr>
        <w:t>被授权人（响应供应商授权代表）无转委托权限。</w:t>
      </w:r>
    </w:p>
    <w:p>
      <w:pPr>
        <w:spacing w:line="360" w:lineRule="auto"/>
        <w:ind w:right="279" w:rightChars="133" w:firstLine="420" w:firstLineChars="200"/>
        <w:rPr>
          <w:rFonts w:ascii="宋体" w:hAnsi="宋体" w:cs="宋体"/>
          <w:color w:val="auto"/>
          <w:szCs w:val="21"/>
        </w:rPr>
      </w:pPr>
      <w:r>
        <w:rPr>
          <w:rFonts w:hint="eastAsia" w:ascii="宋体" w:hAnsi="宋体" w:cs="宋体"/>
          <w:color w:val="auto"/>
          <w:szCs w:val="21"/>
        </w:rPr>
        <w:t>本授权书自法定代表人签字之日起生效，特此声明。</w:t>
      </w:r>
    </w:p>
    <w:p>
      <w:pPr>
        <w:spacing w:line="480" w:lineRule="auto"/>
        <w:ind w:left="2" w:leftChars="1" w:firstLine="1365" w:firstLineChars="650"/>
        <w:rPr>
          <w:rFonts w:ascii="宋体" w:hAnsi="宋体" w:cs="宋体"/>
          <w:color w:val="auto"/>
          <w:szCs w:val="21"/>
        </w:rPr>
      </w:pPr>
    </w:p>
    <w:p>
      <w:pPr>
        <w:spacing w:line="360" w:lineRule="auto"/>
        <w:rPr>
          <w:rFonts w:ascii="宋体" w:hAnsi="宋体" w:cs="宋体"/>
          <w:b/>
          <w:color w:val="auto"/>
          <w:szCs w:val="21"/>
        </w:rPr>
      </w:pPr>
      <w:r>
        <w:rPr>
          <w:rFonts w:hint="eastAsia" w:ascii="宋体" w:hAnsi="宋体" w:cs="宋体"/>
          <w:b/>
          <w:color w:val="auto"/>
          <w:szCs w:val="21"/>
        </w:rPr>
        <w:t>随附《法定代表人证明》</w:t>
      </w:r>
    </w:p>
    <w:p>
      <w:pPr>
        <w:spacing w:line="360" w:lineRule="auto"/>
        <w:rPr>
          <w:rFonts w:ascii="宋体" w:hAnsi="宋体" w:cs="宋体"/>
          <w:color w:val="auto"/>
          <w:szCs w:val="21"/>
        </w:rPr>
      </w:pPr>
    </w:p>
    <w:p>
      <w:pPr>
        <w:spacing w:line="360" w:lineRule="auto"/>
        <w:rPr>
          <w:rFonts w:ascii="宋体" w:hAnsi="宋体" w:cs="宋体"/>
          <w:color w:val="auto"/>
          <w:szCs w:val="21"/>
        </w:rPr>
      </w:pPr>
      <w:r>
        <w:rPr>
          <w:rFonts w:hint="eastAsia" w:ascii="宋体" w:hAnsi="宋体" w:cs="宋体"/>
          <w:color w:val="auto"/>
          <w:szCs w:val="21"/>
        </w:rPr>
        <w:t>响应供应商名称（盖公章）：</w:t>
      </w:r>
    </w:p>
    <w:p>
      <w:pPr>
        <w:tabs>
          <w:tab w:val="left" w:pos="3780"/>
        </w:tabs>
        <w:spacing w:line="360" w:lineRule="auto"/>
        <w:rPr>
          <w:rFonts w:ascii="宋体" w:hAnsi="宋体" w:cs="宋体"/>
          <w:color w:val="auto"/>
          <w:szCs w:val="21"/>
          <w:u w:val="single"/>
        </w:rPr>
      </w:pPr>
      <w:r>
        <w:rPr>
          <w:rFonts w:hint="eastAsia" w:ascii="宋体" w:hAnsi="宋体" w:cs="宋体"/>
          <w:b/>
          <w:bCs/>
          <w:color w:val="auto"/>
          <w:szCs w:val="21"/>
        </w:rPr>
        <w:t>法定代表人（签字或盖章）</w:t>
      </w:r>
      <w:r>
        <w:rPr>
          <w:rFonts w:hint="eastAsia" w:ascii="宋体" w:hAnsi="宋体" w:cs="宋体"/>
          <w:color w:val="auto"/>
          <w:szCs w:val="21"/>
        </w:rPr>
        <w:t>：</w:t>
      </w:r>
    </w:p>
    <w:p>
      <w:pPr>
        <w:tabs>
          <w:tab w:val="left" w:pos="3780"/>
        </w:tabs>
        <w:spacing w:line="360" w:lineRule="auto"/>
        <w:rPr>
          <w:rFonts w:ascii="宋体" w:hAnsi="宋体" w:cs="宋体"/>
          <w:color w:val="auto"/>
          <w:szCs w:val="21"/>
        </w:rPr>
      </w:pPr>
      <w:r>
        <w:rPr>
          <w:rFonts w:hint="eastAsia" w:ascii="宋体" w:hAnsi="宋体" w:cs="宋体"/>
          <w:color w:val="auto"/>
          <w:szCs w:val="21"/>
        </w:rPr>
        <w:t>签字日期：</w:t>
      </w:r>
      <w:r>
        <w:rPr>
          <w:rFonts w:hint="eastAsia" w:ascii="宋体" w:hAnsi="宋体" w:cs="宋体"/>
          <w:color w:val="auto"/>
          <w:szCs w:val="21"/>
          <w:lang w:val="en-US" w:eastAsia="zh-CN"/>
        </w:rPr>
        <w:t xml:space="preserve">  </w:t>
      </w:r>
      <w:r>
        <w:rPr>
          <w:rFonts w:hint="eastAsia" w:ascii="宋体" w:hAnsi="宋体" w:cs="宋体"/>
          <w:color w:val="auto"/>
          <w:szCs w:val="21"/>
        </w:rPr>
        <w:t>年</w:t>
      </w:r>
      <w:r>
        <w:rPr>
          <w:rFonts w:hint="eastAsia" w:ascii="宋体" w:hAnsi="宋体" w:cs="宋体"/>
          <w:color w:val="auto"/>
          <w:szCs w:val="21"/>
          <w:lang w:val="en-US" w:eastAsia="zh-CN"/>
        </w:rPr>
        <w:t xml:space="preserve">   </w:t>
      </w:r>
      <w:r>
        <w:rPr>
          <w:rFonts w:hint="eastAsia" w:ascii="宋体" w:hAnsi="宋体" w:cs="宋体"/>
          <w:color w:val="auto"/>
          <w:szCs w:val="21"/>
        </w:rPr>
        <w:t>月</w:t>
      </w:r>
      <w:r>
        <w:rPr>
          <w:rFonts w:hint="eastAsia" w:ascii="宋体" w:hAnsi="宋体" w:cs="宋体"/>
          <w:color w:val="auto"/>
          <w:szCs w:val="21"/>
          <w:lang w:val="en-US" w:eastAsia="zh-CN"/>
        </w:rPr>
        <w:t xml:space="preserve">   </w:t>
      </w:r>
      <w:r>
        <w:rPr>
          <w:rFonts w:hint="eastAsia" w:ascii="宋体" w:hAnsi="宋体" w:cs="宋体"/>
          <w:color w:val="auto"/>
          <w:szCs w:val="21"/>
        </w:rPr>
        <w:t>日</w:t>
      </w:r>
    </w:p>
    <w:p>
      <w:pPr>
        <w:spacing w:line="360" w:lineRule="auto"/>
        <w:rPr>
          <w:rFonts w:ascii="宋体" w:hAnsi="宋体" w:cs="宋体"/>
          <w:color w:val="auto"/>
          <w:szCs w:val="21"/>
        </w:rPr>
      </w:pPr>
    </w:p>
    <w:p>
      <w:pPr>
        <w:spacing w:line="360" w:lineRule="auto"/>
        <w:rPr>
          <w:rFonts w:ascii="宋体" w:hAnsi="宋体" w:cs="宋体"/>
          <w:color w:val="auto"/>
          <w:sz w:val="25"/>
          <w:szCs w:val="25"/>
        </w:rPr>
      </w:pPr>
      <w:r>
        <w:rPr>
          <w:rFonts w:ascii="宋体" w:hAnsi="宋体" w:cs="宋体"/>
          <w:color w:val="auto"/>
          <w:sz w:val="25"/>
          <w:szCs w:val="25"/>
        </w:rPr>
        <w:pict>
          <v:rect id="Rectangle 4" o:spid="_x0000_s2053" o:spt="1" style="position:absolute;left:0pt;margin-left:208.75pt;margin-top:17.15pt;height:169.6pt;width:219.35pt;z-index:251661312;mso-width-relative:page;mso-height-relative:page;" coordsize="21600,21600" o:gfxdata="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uPz3A2QAAAAoB&#10;AAAPAAAAAAAAAAEAIAAAACIAAABkcnMvZG93bnJldi54bWxQSwECFAAUAAAACACHTuJA3o0Q/xoC&#10;AABgBAAADgAAAAAAAAABACAAAAAoAQAAZHJzL2Uyb0RvYy54bWxQSwUGAAAAAAYABgBZAQAAtAUA&#10;AAAA&#10;">
            <v:path/>
            <v:fill focussize="0,0"/>
            <v:stroke/>
            <v:imagedata o:title=""/>
            <o:lock v:ext="edit"/>
            <v:textbox>
              <w:txbxContent>
                <w:p>
                  <w:pPr>
                    <w:jc w:val="center"/>
                  </w:pPr>
                  <w:r>
                    <w:rPr>
                      <w:rFonts w:hint="eastAsia"/>
                    </w:rPr>
                    <w:t>被授权人（授权代表）</w:t>
                  </w:r>
                </w:p>
                <w:p>
                  <w:pPr>
                    <w:jc w:val="center"/>
                  </w:pPr>
                  <w:r>
                    <w:rPr>
                      <w:rFonts w:hint="eastAsia"/>
                    </w:rPr>
                    <w:t>居民身份证复印件粘贴处</w:t>
                  </w:r>
                </w:p>
                <w:p>
                  <w:pPr>
                    <w:ind w:firstLine="1680" w:firstLineChars="800"/>
                    <w:jc w:val="center"/>
                  </w:pPr>
                </w:p>
                <w:p>
                  <w:pPr>
                    <w:jc w:val="center"/>
                  </w:pPr>
                  <w:r>
                    <w:rPr>
                      <w:rFonts w:hint="eastAsia"/>
                    </w:rPr>
                    <w:t>（反面）</w:t>
                  </w:r>
                </w:p>
                <w:p/>
              </w:txbxContent>
            </v:textbox>
          </v:rect>
        </w:pict>
      </w:r>
      <w:r>
        <w:rPr>
          <w:rFonts w:ascii="宋体" w:hAnsi="宋体" w:cs="宋体"/>
          <w:color w:val="auto"/>
          <w:sz w:val="25"/>
          <w:szCs w:val="25"/>
        </w:rPr>
        <w:pict>
          <v:rect id="Rectangle 3" o:spid="_x0000_s2052" o:spt="1" style="position:absolute;left:0pt;margin-left:-12.95pt;margin-top:17.1pt;height:166.5pt;width:208.15pt;z-index:251660288;mso-width-relative:page;mso-height-relative:page;" coordsize="21600,21600" o:gfxdata="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mV9P9kAAAAKAQAADwAAAAAAAAABACAAAAAiAAAAZHJz&#10;L2Rvd25yZXYueG1sUEsBAhQAFAAAAAgAh07iQFjP1oEDAgAAOwQAAA4AAAAAAAAAAQAgAAAAKAEA&#10;AGRycy9lMm9Eb2MueG1sUEsFBgAAAAAGAAYAWQEAAJ0FAAAAAA==&#10;">
            <v:path/>
            <v:fill focussize="0,0"/>
            <v:stroke/>
            <v:imagedata o:title=""/>
            <o:lock v:ext="edit"/>
            <v:textbox>
              <w:txbxContent>
                <w:p>
                  <w:pPr>
                    <w:jc w:val="center"/>
                  </w:pPr>
                  <w:r>
                    <w:rPr>
                      <w:rFonts w:hint="eastAsia"/>
                    </w:rPr>
                    <w:t>被授权人（授权代表）</w:t>
                  </w:r>
                </w:p>
                <w:p>
                  <w:pPr>
                    <w:jc w:val="center"/>
                  </w:pPr>
                  <w:r>
                    <w:rPr>
                      <w:rFonts w:hint="eastAsia"/>
                    </w:rPr>
                    <w:t>居民身份证复印件粘贴处</w:t>
                  </w:r>
                </w:p>
                <w:p>
                  <w:pPr>
                    <w:ind w:firstLine="1050" w:firstLineChars="500"/>
                    <w:jc w:val="center"/>
                  </w:pPr>
                </w:p>
                <w:p>
                  <w:pPr>
                    <w:jc w:val="center"/>
                  </w:pPr>
                  <w:r>
                    <w:rPr>
                      <w:rFonts w:hint="eastAsia"/>
                    </w:rPr>
                    <w:t>（正面）</w:t>
                  </w:r>
                </w:p>
                <w:p/>
              </w:txbxContent>
            </v:textbox>
          </v:rect>
        </w:pict>
      </w:r>
      <w:bookmarkStart w:id="34" w:name="_Toc226217114"/>
    </w:p>
    <w:p>
      <w:pPr>
        <w:spacing w:line="440" w:lineRule="exact"/>
        <w:rPr>
          <w:rFonts w:ascii="宋体" w:hAnsi="宋体" w:cs="宋体"/>
          <w:color w:val="auto"/>
          <w:sz w:val="25"/>
          <w:szCs w:val="25"/>
        </w:rPr>
      </w:pPr>
    </w:p>
    <w:p>
      <w:pPr>
        <w:spacing w:line="440" w:lineRule="exact"/>
        <w:rPr>
          <w:rFonts w:ascii="宋体" w:hAnsi="宋体" w:cs="宋体"/>
          <w:color w:val="auto"/>
          <w:sz w:val="25"/>
          <w:szCs w:val="25"/>
        </w:rPr>
      </w:pPr>
    </w:p>
    <w:p>
      <w:pPr>
        <w:spacing w:line="440" w:lineRule="exact"/>
        <w:rPr>
          <w:rFonts w:ascii="宋体" w:hAnsi="宋体" w:cs="宋体"/>
          <w:color w:val="auto"/>
          <w:sz w:val="25"/>
          <w:szCs w:val="25"/>
        </w:rPr>
      </w:pPr>
    </w:p>
    <w:p>
      <w:pPr>
        <w:spacing w:line="440" w:lineRule="exact"/>
        <w:rPr>
          <w:rFonts w:ascii="宋体" w:hAnsi="宋体" w:cs="宋体"/>
          <w:color w:val="auto"/>
          <w:sz w:val="25"/>
          <w:szCs w:val="25"/>
        </w:rPr>
      </w:pPr>
    </w:p>
    <w:p>
      <w:pPr>
        <w:spacing w:line="440" w:lineRule="exact"/>
        <w:rPr>
          <w:rFonts w:ascii="宋体" w:hAnsi="宋体" w:cs="宋体"/>
          <w:color w:val="auto"/>
          <w:sz w:val="25"/>
          <w:szCs w:val="25"/>
        </w:rPr>
      </w:pPr>
    </w:p>
    <w:p>
      <w:pPr>
        <w:spacing w:line="440" w:lineRule="exact"/>
        <w:rPr>
          <w:rFonts w:ascii="宋体" w:hAnsi="宋体" w:cs="宋体"/>
          <w:color w:val="auto"/>
          <w:sz w:val="25"/>
          <w:szCs w:val="25"/>
        </w:rPr>
      </w:pPr>
    </w:p>
    <w:bookmarkEnd w:id="34"/>
    <w:p>
      <w:pPr>
        <w:widowControl/>
        <w:jc w:val="left"/>
        <w:rPr>
          <w:rFonts w:ascii="宋体" w:hAnsi="宋体"/>
          <w:bCs/>
          <w:color w:val="auto"/>
        </w:rPr>
      </w:pPr>
    </w:p>
    <w:p>
      <w:pPr>
        <w:spacing w:line="440" w:lineRule="exact"/>
        <w:rPr>
          <w:color w:val="auto"/>
        </w:rPr>
      </w:pPr>
      <w:r>
        <w:rPr>
          <w:color w:val="auto"/>
        </w:rPr>
        <w:br w:type="page"/>
      </w:r>
    </w:p>
    <w:p>
      <w:pPr>
        <w:pStyle w:val="6"/>
        <w:tabs>
          <w:tab w:val="left" w:pos="709"/>
        </w:tabs>
        <w:snapToGrid w:val="0"/>
        <w:spacing w:beforeLines="40" w:afterLines="100"/>
        <w:ind w:firstLine="0" w:firstLineChars="0"/>
        <w:jc w:val="center"/>
        <w:rPr>
          <w:rFonts w:ascii="宋体" w:hAnsi="宋体" w:cs="宋体"/>
          <w:b/>
          <w:color w:val="auto"/>
          <w:sz w:val="32"/>
          <w:szCs w:val="32"/>
        </w:rPr>
      </w:pPr>
      <w:r>
        <w:rPr>
          <w:rFonts w:hint="eastAsia" w:ascii="宋体" w:hAnsi="宋体" w:cs="宋体"/>
          <w:b/>
          <w:color w:val="auto"/>
          <w:sz w:val="32"/>
          <w:szCs w:val="32"/>
        </w:rPr>
        <w:t>法定代表人证明书</w:t>
      </w:r>
    </w:p>
    <w:p>
      <w:pPr>
        <w:tabs>
          <w:tab w:val="left" w:pos="900"/>
        </w:tabs>
        <w:spacing w:line="480" w:lineRule="auto"/>
        <w:ind w:firstLine="945" w:firstLineChars="450"/>
        <w:rPr>
          <w:rFonts w:ascii="宋体" w:hAnsi="宋体"/>
          <w:color w:val="auto"/>
        </w:rPr>
      </w:pPr>
      <w:r>
        <w:rPr>
          <w:rFonts w:hint="eastAsia" w:ascii="宋体" w:hAnsi="宋体"/>
          <w:color w:val="auto"/>
        </w:rPr>
        <w:t>同志，现任我单位职务，为法定代表人，特此证明。</w:t>
      </w:r>
    </w:p>
    <w:p>
      <w:pPr>
        <w:spacing w:line="480" w:lineRule="auto"/>
        <w:ind w:firstLine="420" w:firstLineChars="200"/>
        <w:rPr>
          <w:rFonts w:ascii="宋体" w:hAnsi="宋体"/>
          <w:color w:val="auto"/>
        </w:rPr>
      </w:pPr>
      <w:r>
        <w:rPr>
          <w:rFonts w:hint="eastAsia" w:ascii="宋体" w:hAnsi="宋体"/>
          <w:color w:val="auto"/>
        </w:rPr>
        <w:t>有效日期与本公司报价文件中标注的投标有效期相同。签发日期：</w:t>
      </w:r>
      <w:r>
        <w:rPr>
          <w:rFonts w:hint="eastAsia" w:ascii="宋体" w:hAnsi="宋体"/>
          <w:color w:val="auto"/>
          <w:lang w:val="en-US" w:eastAsia="zh-CN"/>
        </w:rPr>
        <w:t xml:space="preserve">   </w:t>
      </w:r>
      <w:r>
        <w:rPr>
          <w:rFonts w:hint="eastAsia" w:ascii="宋体" w:hAnsi="宋体"/>
          <w:color w:val="auto"/>
        </w:rPr>
        <w:t>年</w:t>
      </w:r>
      <w:r>
        <w:rPr>
          <w:rFonts w:hint="eastAsia" w:ascii="宋体" w:hAnsi="宋体"/>
          <w:color w:val="auto"/>
          <w:lang w:val="en-US" w:eastAsia="zh-CN"/>
        </w:rPr>
        <w:t xml:space="preserve">   </w:t>
      </w:r>
      <w:r>
        <w:rPr>
          <w:rFonts w:hint="eastAsia" w:ascii="宋体" w:hAnsi="宋体"/>
          <w:color w:val="auto"/>
        </w:rPr>
        <w:t>月</w:t>
      </w:r>
      <w:r>
        <w:rPr>
          <w:rFonts w:hint="eastAsia" w:ascii="宋体" w:hAnsi="宋体"/>
          <w:color w:val="auto"/>
          <w:lang w:val="en-US" w:eastAsia="zh-CN"/>
        </w:rPr>
        <w:t xml:space="preserve">   </w:t>
      </w:r>
      <w:r>
        <w:rPr>
          <w:rFonts w:hint="eastAsia" w:ascii="宋体" w:hAnsi="宋体"/>
          <w:color w:val="auto"/>
        </w:rPr>
        <w:t>日</w:t>
      </w:r>
    </w:p>
    <w:p>
      <w:pPr>
        <w:spacing w:line="480" w:lineRule="auto"/>
        <w:ind w:firstLine="420" w:firstLineChars="200"/>
        <w:rPr>
          <w:rFonts w:ascii="宋体" w:hAnsi="宋体"/>
          <w:color w:val="auto"/>
        </w:rPr>
      </w:pPr>
      <w:r>
        <w:rPr>
          <w:rFonts w:hint="eastAsia" w:ascii="宋体" w:hAnsi="宋体"/>
          <w:color w:val="auto"/>
        </w:rPr>
        <w:t>附：</w:t>
      </w:r>
    </w:p>
    <w:p>
      <w:pPr>
        <w:spacing w:line="480" w:lineRule="auto"/>
        <w:ind w:firstLine="840" w:firstLineChars="400"/>
        <w:rPr>
          <w:rFonts w:ascii="宋体" w:hAnsi="宋体"/>
          <w:color w:val="auto"/>
        </w:rPr>
      </w:pPr>
      <w:r>
        <w:rPr>
          <w:rFonts w:hint="eastAsia" w:ascii="宋体" w:hAnsi="宋体"/>
          <w:color w:val="auto"/>
        </w:rPr>
        <w:t>营业执照（注册号）：</w:t>
      </w:r>
    </w:p>
    <w:p>
      <w:pPr>
        <w:spacing w:line="480" w:lineRule="auto"/>
        <w:ind w:firstLine="840" w:firstLineChars="400"/>
        <w:rPr>
          <w:rFonts w:ascii="宋体" w:hAnsi="宋体"/>
          <w:color w:val="auto"/>
        </w:rPr>
      </w:pPr>
      <w:r>
        <w:rPr>
          <w:rFonts w:hint="eastAsia" w:ascii="宋体" w:hAnsi="宋体"/>
          <w:color w:val="auto"/>
        </w:rPr>
        <w:t>经济性质：</w:t>
      </w:r>
    </w:p>
    <w:p>
      <w:pPr>
        <w:spacing w:line="480" w:lineRule="auto"/>
        <w:ind w:firstLine="840" w:firstLineChars="400"/>
        <w:rPr>
          <w:rFonts w:ascii="宋体" w:hAnsi="宋体"/>
          <w:color w:val="auto"/>
        </w:rPr>
      </w:pPr>
      <w:r>
        <w:rPr>
          <w:rFonts w:hint="eastAsia" w:ascii="宋体" w:hAnsi="宋体"/>
          <w:color w:val="auto"/>
        </w:rPr>
        <w:t>主营（产）：</w:t>
      </w:r>
    </w:p>
    <w:p>
      <w:pPr>
        <w:spacing w:line="480" w:lineRule="auto"/>
        <w:ind w:firstLine="840" w:firstLineChars="400"/>
        <w:rPr>
          <w:rFonts w:ascii="宋体" w:hAnsi="宋体"/>
          <w:color w:val="auto"/>
        </w:rPr>
      </w:pPr>
      <w:r>
        <w:rPr>
          <w:rFonts w:hint="eastAsia" w:ascii="宋体" w:hAnsi="宋体"/>
          <w:color w:val="auto"/>
        </w:rPr>
        <w:t>兼营（产）：</w:t>
      </w:r>
    </w:p>
    <w:p>
      <w:pPr>
        <w:spacing w:line="480" w:lineRule="auto"/>
        <w:ind w:firstLine="1000" w:firstLineChars="400"/>
        <w:rPr>
          <w:rFonts w:ascii="宋体" w:hAnsi="宋体" w:cs="宋体"/>
          <w:color w:val="auto"/>
          <w:sz w:val="25"/>
          <w:szCs w:val="25"/>
        </w:rPr>
      </w:pPr>
      <w:r>
        <w:rPr>
          <w:rFonts w:ascii="宋体" w:hAnsi="宋体" w:cs="宋体"/>
          <w:color w:val="auto"/>
          <w:sz w:val="25"/>
          <w:szCs w:val="25"/>
        </w:rPr>
        <w:pict>
          <v:rect id="Rectangle 5" o:spid="_x0000_s2051" o:spt="1" style="position:absolute;left:0pt;margin-left:214.85pt;margin-top:19.2pt;height:151.55pt;width:204.7pt;z-index:251663360;mso-width-relative:page;mso-height-relative:page;" coordsize="21600,21600" o:gfxdata="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OCUytkAAAAKAQAADwAAAAAAAAABACAAAAAiAAAAZHJz&#10;L2Rvd25yZXYueG1sUEsBAhQAFAAAAAgAh07iQLOkEIADAgAAOwQAAA4AAAAAAAAAAQAgAAAAKAEA&#10;AGRycy9lMm9Eb2MueG1sUEsFBgAAAAAGAAYAWQEAAJ0FAAAAAA==&#10;">
            <v:path/>
            <v:fill focussize="0,0"/>
            <v:stroke/>
            <v:imagedata o:title=""/>
            <o:lock v:ext="edit"/>
            <v:textbox>
              <w:txbxContent>
                <w:p>
                  <w:pPr>
                    <w:ind w:firstLine="840" w:firstLineChars="400"/>
                  </w:pPr>
                </w:p>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（反面）</w:t>
                  </w:r>
                </w:p>
                <w:p>
                  <w:pPr>
                    <w:ind w:firstLine="1050" w:firstLineChars="500"/>
                  </w:pPr>
                </w:p>
              </w:txbxContent>
            </v:textbox>
          </v:rect>
        </w:pict>
      </w:r>
      <w:r>
        <w:rPr>
          <w:rFonts w:ascii="宋体" w:hAnsi="宋体" w:cs="宋体"/>
          <w:color w:val="auto"/>
          <w:sz w:val="25"/>
          <w:szCs w:val="25"/>
        </w:rPr>
        <w:pict>
          <v:rect id="Rectangle 2" o:spid="_x0000_s2050" o:spt="1" style="position:absolute;left:0pt;margin-left:3.4pt;margin-top:19.2pt;height:148.2pt;width:188.95pt;z-index:251662336;mso-width-relative:page;mso-height-relative:page;" coordsize="21600,21600" o:gfxdata="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rXY1E1wAAAAgBAAAPAAAAAAAAAAEAIAAAACIAAABkcnMv&#10;ZG93bnJldi54bWxQSwECFAAUAAAACACHTuJA7kShtQQCAAA7BAAADgAAAAAAAAABACAAAAAmAQAA&#10;ZHJzL2Uyb0RvYy54bWxQSwUGAAAAAAYABgBZAQAAnAUAAAAA&#10;">
            <v:path/>
            <v:fill focussize="0,0"/>
            <v:stroke/>
            <v:imagedata o:title=""/>
            <o:lock v:ext="edit"/>
            <v:textbox>
              <w:txbxContent>
                <w:p>
                  <w:pPr>
                    <w:ind w:firstLine="840" w:firstLineChars="400"/>
                  </w:pPr>
                </w:p>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（正面）</w:t>
                  </w:r>
                </w:p>
                <w:p>
                  <w:pPr>
                    <w:ind w:firstLine="1050" w:firstLineChars="500"/>
                  </w:pPr>
                </w:p>
              </w:txbxContent>
            </v:textbox>
          </v:rect>
        </w:pict>
      </w:r>
    </w:p>
    <w:p>
      <w:pPr>
        <w:spacing w:line="500" w:lineRule="exact"/>
        <w:rPr>
          <w:rFonts w:ascii="宋体" w:hAnsi="宋体" w:cs="宋体"/>
          <w:b/>
          <w:bCs/>
          <w:color w:val="auto"/>
          <w:szCs w:val="21"/>
        </w:rPr>
      </w:pPr>
    </w:p>
    <w:p>
      <w:pPr>
        <w:spacing w:line="500" w:lineRule="exact"/>
        <w:rPr>
          <w:rFonts w:ascii="宋体" w:hAnsi="宋体" w:cs="宋体"/>
          <w:b/>
          <w:bCs/>
          <w:color w:val="auto"/>
          <w:szCs w:val="21"/>
        </w:rPr>
      </w:pPr>
    </w:p>
    <w:p>
      <w:pPr>
        <w:spacing w:line="500" w:lineRule="exact"/>
        <w:rPr>
          <w:rFonts w:ascii="宋体" w:hAnsi="宋体" w:cs="宋体"/>
          <w:b/>
          <w:bCs/>
          <w:color w:val="auto"/>
          <w:szCs w:val="21"/>
        </w:rPr>
      </w:pPr>
    </w:p>
    <w:p>
      <w:pPr>
        <w:spacing w:line="500" w:lineRule="exact"/>
        <w:rPr>
          <w:rFonts w:ascii="宋体" w:hAnsi="宋体" w:cs="宋体"/>
          <w:b/>
          <w:bCs/>
          <w:color w:val="auto"/>
          <w:szCs w:val="21"/>
        </w:rPr>
      </w:pPr>
    </w:p>
    <w:p>
      <w:pPr>
        <w:spacing w:line="500" w:lineRule="exact"/>
        <w:rPr>
          <w:rFonts w:ascii="宋体" w:hAnsi="宋体" w:cs="宋体"/>
          <w:b/>
          <w:bCs/>
          <w:color w:val="auto"/>
          <w:szCs w:val="21"/>
        </w:rPr>
      </w:pPr>
    </w:p>
    <w:p>
      <w:pPr>
        <w:spacing w:line="500" w:lineRule="exact"/>
        <w:rPr>
          <w:rFonts w:ascii="宋体" w:hAnsi="宋体" w:cs="宋体"/>
          <w:b/>
          <w:bCs/>
          <w:color w:val="auto"/>
          <w:szCs w:val="21"/>
        </w:rPr>
      </w:pPr>
    </w:p>
    <w:p>
      <w:pPr>
        <w:spacing w:line="500" w:lineRule="exact"/>
        <w:rPr>
          <w:rFonts w:hint="eastAsia" w:ascii="宋体" w:hAnsi="宋体" w:cs="宋体"/>
          <w:color w:val="auto"/>
          <w:szCs w:val="21"/>
        </w:rPr>
      </w:pPr>
    </w:p>
    <w:p>
      <w:pPr>
        <w:spacing w:line="500" w:lineRule="exact"/>
        <w:rPr>
          <w:rFonts w:ascii="宋体" w:hAnsi="宋体" w:cs="宋体"/>
          <w:color w:val="auto"/>
          <w:szCs w:val="21"/>
        </w:rPr>
      </w:pPr>
      <w:r>
        <w:rPr>
          <w:rFonts w:hint="eastAsia" w:ascii="宋体" w:hAnsi="宋体" w:cs="宋体"/>
          <w:color w:val="auto"/>
          <w:szCs w:val="21"/>
        </w:rPr>
        <w:t>响应供应商名称：（盖公章）：</w:t>
      </w:r>
    </w:p>
    <w:p>
      <w:pPr>
        <w:spacing w:line="500" w:lineRule="exact"/>
        <w:rPr>
          <w:rFonts w:ascii="宋体" w:hAnsi="宋体" w:cs="宋体"/>
          <w:color w:val="auto"/>
          <w:szCs w:val="21"/>
        </w:rPr>
      </w:pPr>
      <w:r>
        <w:rPr>
          <w:rFonts w:hint="eastAsia" w:ascii="宋体" w:hAnsi="宋体" w:cs="宋体"/>
          <w:color w:val="auto"/>
          <w:szCs w:val="21"/>
        </w:rPr>
        <w:t>日期：</w:t>
      </w:r>
    </w:p>
    <w:p>
      <w:pPr>
        <w:spacing w:line="500" w:lineRule="exact"/>
        <w:rPr>
          <w:rFonts w:ascii="宋体" w:hAnsi="宋体" w:cs="宋体"/>
          <w:bCs/>
          <w:color w:val="auto"/>
          <w:sz w:val="25"/>
          <w:szCs w:val="25"/>
        </w:rPr>
      </w:pPr>
    </w:p>
    <w:p>
      <w:pPr>
        <w:spacing w:line="440" w:lineRule="exact"/>
        <w:rPr>
          <w:rFonts w:ascii="黑体" w:eastAsia="黑体"/>
          <w:bCs/>
          <w:color w:val="auto"/>
          <w:sz w:val="28"/>
        </w:rPr>
      </w:pPr>
      <w:r>
        <w:rPr>
          <w:rFonts w:ascii="黑体" w:eastAsia="黑体"/>
          <w:bCs/>
          <w:color w:val="auto"/>
          <w:sz w:val="28"/>
        </w:rPr>
        <w:br w:type="page"/>
      </w:r>
    </w:p>
    <w:p>
      <w:pPr>
        <w:pStyle w:val="6"/>
        <w:tabs>
          <w:tab w:val="left" w:pos="709"/>
        </w:tabs>
        <w:snapToGrid w:val="0"/>
        <w:spacing w:beforeLines="40" w:afterLines="100"/>
        <w:ind w:firstLine="0" w:firstLineChars="0"/>
        <w:jc w:val="center"/>
        <w:rPr>
          <w:rFonts w:ascii="宋体" w:hAnsi="宋体" w:cs="宋体"/>
          <w:b/>
          <w:color w:val="auto"/>
          <w:sz w:val="32"/>
          <w:szCs w:val="32"/>
        </w:rPr>
      </w:pPr>
      <w:bookmarkStart w:id="35" w:name="_承诺函"/>
      <w:bookmarkEnd w:id="35"/>
      <w:r>
        <w:rPr>
          <w:rFonts w:hint="eastAsia" w:ascii="宋体" w:hAnsi="宋体" w:cs="宋体"/>
          <w:b/>
          <w:color w:val="auto"/>
          <w:sz w:val="32"/>
          <w:szCs w:val="32"/>
        </w:rPr>
        <w:t>报 价 表</w:t>
      </w:r>
    </w:p>
    <w:p>
      <w:pPr>
        <w:tabs>
          <w:tab w:val="left" w:pos="7740"/>
        </w:tabs>
        <w:adjustRightInd w:val="0"/>
        <w:snapToGrid w:val="0"/>
        <w:rPr>
          <w:rFonts w:ascii="宋体" w:hAnsi="宋体" w:cs="宋体"/>
          <w:color w:val="auto"/>
          <w:szCs w:val="21"/>
        </w:rPr>
      </w:pPr>
      <w:r>
        <w:rPr>
          <w:rFonts w:hint="eastAsia" w:ascii="宋体" w:hAnsi="宋体"/>
          <w:color w:val="auto"/>
        </w:rPr>
        <w:t>响应供应商名称：                                       项目编号：</w:t>
      </w:r>
      <w:r>
        <w:rPr>
          <w:rFonts w:hint="eastAsia" w:ascii="宋体" w:hAnsi="宋体" w:cs="宋体"/>
          <w:color w:val="auto"/>
          <w:szCs w:val="21"/>
        </w:rPr>
        <w:t>GDCFCG-GDGZ-20230045</w:t>
      </w:r>
    </w:p>
    <w:p>
      <w:pPr>
        <w:tabs>
          <w:tab w:val="left" w:pos="7740"/>
        </w:tabs>
        <w:adjustRightInd w:val="0"/>
        <w:snapToGrid w:val="0"/>
        <w:rPr>
          <w:rFonts w:ascii="宋体" w:hAnsi="宋体" w:cs="宋体"/>
          <w:color w:val="auto"/>
          <w:szCs w:val="21"/>
        </w:rPr>
      </w:pPr>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2788"/>
        <w:gridCol w:w="2703"/>
        <w:gridCol w:w="23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094" w:type="dxa"/>
            <w:tcBorders>
              <w:bottom w:val="double" w:color="auto" w:sz="4" w:space="0"/>
            </w:tcBorders>
            <w:shd w:val="clear" w:color="auto" w:fill="EEECE1"/>
            <w:noWrap/>
            <w:vAlign w:val="center"/>
          </w:tcPr>
          <w:p>
            <w:pPr>
              <w:spacing w:line="360" w:lineRule="auto"/>
              <w:jc w:val="center"/>
              <w:rPr>
                <w:rFonts w:ascii="宋体"/>
                <w:b/>
                <w:color w:val="auto"/>
                <w:szCs w:val="21"/>
              </w:rPr>
            </w:pPr>
            <w:r>
              <w:rPr>
                <w:rFonts w:hint="eastAsia" w:ascii="宋体"/>
                <w:b/>
                <w:color w:val="auto"/>
                <w:szCs w:val="21"/>
              </w:rPr>
              <w:t>包组号</w:t>
            </w:r>
          </w:p>
        </w:tc>
        <w:tc>
          <w:tcPr>
            <w:tcW w:w="2788" w:type="dxa"/>
            <w:tcBorders>
              <w:bottom w:val="double" w:color="auto" w:sz="4" w:space="0"/>
            </w:tcBorders>
            <w:shd w:val="clear" w:color="auto" w:fill="EEECE1"/>
            <w:noWrap/>
            <w:vAlign w:val="center"/>
          </w:tcPr>
          <w:p>
            <w:pPr>
              <w:spacing w:line="360" w:lineRule="auto"/>
              <w:jc w:val="center"/>
              <w:rPr>
                <w:rFonts w:ascii="宋体"/>
                <w:b/>
                <w:color w:val="auto"/>
                <w:szCs w:val="21"/>
              </w:rPr>
            </w:pPr>
            <w:r>
              <w:rPr>
                <w:rFonts w:hint="eastAsia" w:ascii="宋体"/>
                <w:b/>
                <w:color w:val="auto"/>
                <w:szCs w:val="21"/>
              </w:rPr>
              <w:t>采购内容</w:t>
            </w:r>
          </w:p>
        </w:tc>
        <w:tc>
          <w:tcPr>
            <w:tcW w:w="2703" w:type="dxa"/>
            <w:tcBorders>
              <w:bottom w:val="double" w:color="auto" w:sz="4" w:space="0"/>
            </w:tcBorders>
            <w:shd w:val="clear" w:color="auto" w:fill="EEECE1"/>
            <w:noWrap/>
            <w:vAlign w:val="center"/>
          </w:tcPr>
          <w:p>
            <w:pPr>
              <w:jc w:val="center"/>
              <w:rPr>
                <w:rFonts w:ascii="宋体"/>
                <w:b/>
                <w:color w:val="auto"/>
                <w:szCs w:val="21"/>
              </w:rPr>
            </w:pPr>
            <w:r>
              <w:rPr>
                <w:rFonts w:hint="eastAsia" w:ascii="宋体"/>
                <w:b/>
                <w:color w:val="auto"/>
                <w:szCs w:val="21"/>
              </w:rPr>
              <w:t>竞价报价</w:t>
            </w:r>
          </w:p>
          <w:p>
            <w:pPr>
              <w:jc w:val="center"/>
              <w:rPr>
                <w:rFonts w:ascii="宋体"/>
                <w:b/>
                <w:color w:val="auto"/>
                <w:szCs w:val="21"/>
              </w:rPr>
            </w:pPr>
            <w:r>
              <w:rPr>
                <w:rFonts w:hint="eastAsia" w:ascii="宋体"/>
                <w:b/>
                <w:color w:val="auto"/>
                <w:szCs w:val="21"/>
              </w:rPr>
              <w:t>（人民币 元）</w:t>
            </w:r>
          </w:p>
        </w:tc>
        <w:tc>
          <w:tcPr>
            <w:tcW w:w="2374" w:type="dxa"/>
            <w:tcBorders>
              <w:bottom w:val="double" w:color="auto" w:sz="4" w:space="0"/>
            </w:tcBorders>
            <w:shd w:val="clear" w:color="auto" w:fill="EEECE1"/>
            <w:noWrap/>
            <w:vAlign w:val="center"/>
          </w:tcPr>
          <w:p>
            <w:pPr>
              <w:jc w:val="center"/>
              <w:rPr>
                <w:rFonts w:ascii="宋体"/>
                <w:b/>
                <w:color w:val="auto"/>
                <w:szCs w:val="21"/>
              </w:rPr>
            </w:pPr>
            <w:r>
              <w:rPr>
                <w:rFonts w:hint="eastAsia" w:ascii="宋体"/>
                <w:b/>
                <w:color w:val="auto"/>
                <w:szCs w:val="21"/>
              </w:rPr>
              <w:t>服务期限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68" w:hRule="atLeast"/>
        </w:trPr>
        <w:tc>
          <w:tcPr>
            <w:tcW w:w="1094" w:type="dxa"/>
            <w:tcBorders>
              <w:top w:val="double" w:color="auto" w:sz="4" w:space="0"/>
            </w:tcBorders>
            <w:noWrap/>
            <w:vAlign w:val="center"/>
          </w:tcPr>
          <w:p>
            <w:pPr>
              <w:jc w:val="center"/>
              <w:rPr>
                <w:rFonts w:ascii="宋体"/>
                <w:bCs/>
                <w:color w:val="auto"/>
                <w:szCs w:val="21"/>
              </w:rPr>
            </w:pPr>
            <w:r>
              <w:rPr>
                <w:rFonts w:hint="eastAsia" w:ascii="宋体"/>
                <w:bCs/>
                <w:color w:val="auto"/>
                <w:szCs w:val="21"/>
              </w:rPr>
              <w:t>包组一</w:t>
            </w:r>
          </w:p>
        </w:tc>
        <w:tc>
          <w:tcPr>
            <w:tcW w:w="2788" w:type="dxa"/>
            <w:tcBorders>
              <w:top w:val="double" w:color="auto" w:sz="4" w:space="0"/>
            </w:tcBorders>
            <w:noWrap/>
            <w:vAlign w:val="center"/>
          </w:tcPr>
          <w:p>
            <w:pPr>
              <w:jc w:val="center"/>
              <w:rPr>
                <w:rFonts w:ascii="宋体"/>
                <w:bCs/>
                <w:color w:val="auto"/>
                <w:szCs w:val="21"/>
              </w:rPr>
            </w:pPr>
            <w:r>
              <w:rPr>
                <w:rFonts w:hint="eastAsia" w:ascii="宋体"/>
                <w:bCs/>
                <w:color w:val="auto"/>
                <w:szCs w:val="21"/>
              </w:rPr>
              <w:t>2023年花都区农产品质量安全基层检测技术人员培训</w:t>
            </w:r>
          </w:p>
        </w:tc>
        <w:tc>
          <w:tcPr>
            <w:tcW w:w="2703" w:type="dxa"/>
            <w:tcBorders>
              <w:top w:val="double" w:color="auto" w:sz="4" w:space="0"/>
            </w:tcBorders>
            <w:noWrap/>
            <w:vAlign w:val="center"/>
          </w:tcPr>
          <w:p>
            <w:pPr>
              <w:rPr>
                <w:rFonts w:hint="default" w:ascii="宋体" w:eastAsia="宋体"/>
                <w:bCs/>
                <w:color w:val="auto"/>
                <w:szCs w:val="21"/>
                <w:u w:val="single"/>
                <w:lang w:val="en-US" w:eastAsia="zh-CN"/>
              </w:rPr>
            </w:pPr>
            <w:r>
              <w:rPr>
                <w:rFonts w:hint="eastAsia" w:ascii="宋体"/>
                <w:bCs/>
                <w:color w:val="auto"/>
                <w:szCs w:val="21"/>
              </w:rPr>
              <w:t>小写：RMB</w:t>
            </w:r>
            <w:r>
              <w:rPr>
                <w:rFonts w:hint="eastAsia" w:ascii="宋体"/>
                <w:bCs/>
                <w:color w:val="auto"/>
                <w:szCs w:val="21"/>
                <w:u w:val="single"/>
                <w:lang w:val="en-US" w:eastAsia="zh-CN"/>
              </w:rPr>
              <w:t xml:space="preserve">                </w:t>
            </w:r>
          </w:p>
          <w:p>
            <w:pPr>
              <w:rPr>
                <w:rFonts w:hint="default" w:ascii="宋体" w:eastAsia="宋体"/>
                <w:bCs/>
                <w:color w:val="auto"/>
                <w:szCs w:val="21"/>
                <w:u w:val="single"/>
                <w:lang w:val="en-US" w:eastAsia="zh-CN"/>
              </w:rPr>
            </w:pPr>
            <w:r>
              <w:rPr>
                <w:rFonts w:hint="eastAsia" w:ascii="宋体"/>
                <w:bCs/>
                <w:color w:val="auto"/>
                <w:szCs w:val="21"/>
              </w:rPr>
              <w:t>大写：</w:t>
            </w:r>
            <w:r>
              <w:rPr>
                <w:rFonts w:hint="eastAsia" w:ascii="宋体"/>
                <w:bCs/>
                <w:color w:val="auto"/>
                <w:szCs w:val="21"/>
                <w:u w:val="single"/>
                <w:lang w:val="en-US" w:eastAsia="zh-CN"/>
              </w:rPr>
              <w:t xml:space="preserve">                  </w:t>
            </w:r>
          </w:p>
        </w:tc>
        <w:tc>
          <w:tcPr>
            <w:tcW w:w="2374" w:type="dxa"/>
            <w:tcBorders>
              <w:top w:val="double" w:color="auto" w:sz="4" w:space="0"/>
            </w:tcBorders>
            <w:noWrap/>
            <w:vAlign w:val="center"/>
          </w:tcPr>
          <w:p>
            <w:pPr>
              <w:pStyle w:val="46"/>
              <w:spacing w:line="440" w:lineRule="exact"/>
              <w:rPr>
                <w:rFonts w:ascii="宋体" w:hAnsi="宋体"/>
                <w:snapToGrid/>
                <w:color w:val="auto"/>
                <w:spacing w:val="0"/>
                <w:kern w:val="2"/>
                <w:sz w:val="21"/>
                <w:szCs w:val="21"/>
              </w:rPr>
            </w:pPr>
            <w:r>
              <w:rPr>
                <w:rFonts w:hint="eastAsia" w:ascii="宋体" w:hAnsi="宋体"/>
                <w:snapToGrid/>
                <w:color w:val="auto"/>
                <w:spacing w:val="0"/>
                <w:kern w:val="2"/>
                <w:sz w:val="21"/>
                <w:szCs w:val="21"/>
              </w:rPr>
              <w:t>自合同签约至2023年4月31日前完成</w:t>
            </w:r>
          </w:p>
        </w:tc>
      </w:tr>
    </w:tbl>
    <w:p>
      <w:pPr>
        <w:tabs>
          <w:tab w:val="left" w:pos="7740"/>
        </w:tabs>
        <w:adjustRightInd w:val="0"/>
        <w:snapToGrid w:val="0"/>
        <w:rPr>
          <w:rFonts w:ascii="宋体" w:hAnsi="宋体" w:cs="宋体"/>
          <w:color w:val="auto"/>
          <w:szCs w:val="21"/>
        </w:rPr>
      </w:pPr>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2788"/>
        <w:gridCol w:w="2751"/>
        <w:gridCol w:w="23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094" w:type="dxa"/>
            <w:tcBorders>
              <w:bottom w:val="double" w:color="auto" w:sz="4" w:space="0"/>
            </w:tcBorders>
            <w:shd w:val="clear" w:color="auto" w:fill="EEECE1"/>
            <w:noWrap/>
            <w:vAlign w:val="center"/>
          </w:tcPr>
          <w:p>
            <w:pPr>
              <w:spacing w:line="360" w:lineRule="auto"/>
              <w:jc w:val="center"/>
              <w:rPr>
                <w:rFonts w:ascii="宋体"/>
                <w:b/>
                <w:color w:val="auto"/>
                <w:szCs w:val="21"/>
              </w:rPr>
            </w:pPr>
            <w:r>
              <w:rPr>
                <w:rFonts w:hint="eastAsia" w:ascii="宋体"/>
                <w:b/>
                <w:color w:val="auto"/>
                <w:szCs w:val="21"/>
              </w:rPr>
              <w:t>包组号</w:t>
            </w:r>
          </w:p>
        </w:tc>
        <w:tc>
          <w:tcPr>
            <w:tcW w:w="2788" w:type="dxa"/>
            <w:tcBorders>
              <w:bottom w:val="double" w:color="auto" w:sz="4" w:space="0"/>
            </w:tcBorders>
            <w:shd w:val="clear" w:color="auto" w:fill="EEECE1"/>
            <w:noWrap/>
            <w:vAlign w:val="center"/>
          </w:tcPr>
          <w:p>
            <w:pPr>
              <w:spacing w:line="360" w:lineRule="auto"/>
              <w:jc w:val="center"/>
              <w:rPr>
                <w:rFonts w:ascii="宋体"/>
                <w:b/>
                <w:color w:val="auto"/>
                <w:szCs w:val="21"/>
              </w:rPr>
            </w:pPr>
            <w:r>
              <w:rPr>
                <w:rFonts w:hint="eastAsia" w:ascii="宋体"/>
                <w:b/>
                <w:color w:val="auto"/>
                <w:szCs w:val="21"/>
              </w:rPr>
              <w:t>采购内容</w:t>
            </w:r>
          </w:p>
        </w:tc>
        <w:tc>
          <w:tcPr>
            <w:tcW w:w="2751" w:type="dxa"/>
            <w:tcBorders>
              <w:bottom w:val="double" w:color="auto" w:sz="4" w:space="0"/>
            </w:tcBorders>
            <w:shd w:val="clear" w:color="auto" w:fill="EEECE1"/>
            <w:noWrap/>
            <w:vAlign w:val="center"/>
          </w:tcPr>
          <w:p>
            <w:pPr>
              <w:jc w:val="center"/>
              <w:rPr>
                <w:rFonts w:ascii="宋体"/>
                <w:b/>
                <w:color w:val="auto"/>
                <w:szCs w:val="21"/>
              </w:rPr>
            </w:pPr>
            <w:r>
              <w:rPr>
                <w:rFonts w:hint="eastAsia" w:ascii="宋体"/>
                <w:b/>
                <w:color w:val="auto"/>
                <w:szCs w:val="21"/>
              </w:rPr>
              <w:t>竞价报价</w:t>
            </w:r>
          </w:p>
          <w:p>
            <w:pPr>
              <w:jc w:val="center"/>
              <w:rPr>
                <w:rFonts w:ascii="宋体"/>
                <w:b/>
                <w:color w:val="auto"/>
                <w:szCs w:val="21"/>
              </w:rPr>
            </w:pPr>
            <w:r>
              <w:rPr>
                <w:rFonts w:hint="eastAsia" w:ascii="宋体"/>
                <w:b/>
                <w:color w:val="auto"/>
                <w:szCs w:val="21"/>
              </w:rPr>
              <w:t>（人民币 元）</w:t>
            </w:r>
          </w:p>
        </w:tc>
        <w:tc>
          <w:tcPr>
            <w:tcW w:w="2320" w:type="dxa"/>
            <w:tcBorders>
              <w:bottom w:val="double" w:color="auto" w:sz="4" w:space="0"/>
            </w:tcBorders>
            <w:shd w:val="clear" w:color="auto" w:fill="EEECE1"/>
            <w:noWrap/>
            <w:vAlign w:val="center"/>
          </w:tcPr>
          <w:p>
            <w:pPr>
              <w:jc w:val="center"/>
              <w:rPr>
                <w:rFonts w:ascii="宋体"/>
                <w:b/>
                <w:color w:val="auto"/>
                <w:szCs w:val="21"/>
              </w:rPr>
            </w:pPr>
            <w:r>
              <w:rPr>
                <w:rFonts w:hint="eastAsia" w:ascii="宋体"/>
                <w:b/>
                <w:color w:val="auto"/>
                <w:szCs w:val="21"/>
              </w:rPr>
              <w:t>服务期限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094" w:type="dxa"/>
            <w:vMerge w:val="restart"/>
            <w:tcBorders>
              <w:top w:val="single" w:color="auto" w:sz="4" w:space="0"/>
            </w:tcBorders>
            <w:noWrap/>
            <w:vAlign w:val="center"/>
          </w:tcPr>
          <w:p>
            <w:pPr>
              <w:jc w:val="center"/>
              <w:rPr>
                <w:rFonts w:ascii="宋体"/>
                <w:bCs/>
                <w:color w:val="auto"/>
                <w:szCs w:val="21"/>
              </w:rPr>
            </w:pPr>
            <w:r>
              <w:rPr>
                <w:rFonts w:hint="eastAsia"/>
                <w:color w:val="auto"/>
                <w:szCs w:val="21"/>
              </w:rPr>
              <w:t>包组二</w:t>
            </w:r>
          </w:p>
        </w:tc>
        <w:tc>
          <w:tcPr>
            <w:tcW w:w="2788" w:type="dxa"/>
            <w:tcBorders>
              <w:top w:val="single" w:color="auto" w:sz="4" w:space="0"/>
              <w:bottom w:val="single" w:color="auto" w:sz="4" w:space="0"/>
            </w:tcBorders>
            <w:noWrap/>
            <w:vAlign w:val="center"/>
          </w:tcPr>
          <w:p>
            <w:pPr>
              <w:jc w:val="center"/>
              <w:rPr>
                <w:rFonts w:ascii="宋体"/>
                <w:bCs/>
                <w:color w:val="auto"/>
                <w:szCs w:val="21"/>
              </w:rPr>
            </w:pPr>
            <w:r>
              <w:rPr>
                <w:rFonts w:hint="eastAsia" w:ascii="宋体"/>
                <w:bCs/>
                <w:color w:val="auto"/>
                <w:szCs w:val="21"/>
              </w:rPr>
              <w:t>危险化学品使用储存场所安全现状评价和安全技术服务</w:t>
            </w:r>
          </w:p>
        </w:tc>
        <w:tc>
          <w:tcPr>
            <w:tcW w:w="2751" w:type="dxa"/>
            <w:vMerge w:val="restart"/>
            <w:tcBorders>
              <w:top w:val="single" w:color="auto" w:sz="4" w:space="0"/>
            </w:tcBorders>
            <w:noWrap/>
            <w:vAlign w:val="center"/>
          </w:tcPr>
          <w:p>
            <w:pPr>
              <w:rPr>
                <w:rFonts w:hint="default" w:ascii="宋体" w:eastAsia="宋体"/>
                <w:bCs/>
                <w:color w:val="auto"/>
                <w:szCs w:val="21"/>
                <w:u w:val="single"/>
                <w:lang w:val="en-US" w:eastAsia="zh-CN"/>
              </w:rPr>
            </w:pPr>
            <w:r>
              <w:rPr>
                <w:rFonts w:hint="eastAsia" w:ascii="宋体"/>
                <w:bCs/>
                <w:color w:val="auto"/>
                <w:szCs w:val="21"/>
              </w:rPr>
              <w:t>小写：RMB</w:t>
            </w:r>
            <w:r>
              <w:rPr>
                <w:rFonts w:hint="eastAsia" w:ascii="宋体"/>
                <w:bCs/>
                <w:color w:val="auto"/>
                <w:szCs w:val="21"/>
                <w:u w:val="single"/>
                <w:lang w:val="en-US" w:eastAsia="zh-CN"/>
              </w:rPr>
              <w:t xml:space="preserve">                </w:t>
            </w:r>
          </w:p>
          <w:p>
            <w:pPr>
              <w:rPr>
                <w:rFonts w:ascii="宋体"/>
                <w:bCs/>
                <w:color w:val="auto"/>
                <w:szCs w:val="21"/>
              </w:rPr>
            </w:pPr>
            <w:r>
              <w:rPr>
                <w:rFonts w:hint="eastAsia" w:ascii="宋体"/>
                <w:bCs/>
                <w:color w:val="auto"/>
                <w:szCs w:val="21"/>
              </w:rPr>
              <w:t>大写：</w:t>
            </w:r>
            <w:r>
              <w:rPr>
                <w:rFonts w:hint="eastAsia" w:ascii="宋体"/>
                <w:bCs/>
                <w:color w:val="auto"/>
                <w:szCs w:val="21"/>
                <w:u w:val="single"/>
                <w:lang w:val="en-US" w:eastAsia="zh-CN"/>
              </w:rPr>
              <w:t xml:space="preserve">                  </w:t>
            </w:r>
          </w:p>
        </w:tc>
        <w:tc>
          <w:tcPr>
            <w:tcW w:w="2320" w:type="dxa"/>
            <w:vMerge w:val="restart"/>
            <w:tcBorders>
              <w:top w:val="single" w:color="auto" w:sz="4" w:space="0"/>
            </w:tcBorders>
            <w:noWrap/>
            <w:vAlign w:val="center"/>
          </w:tcPr>
          <w:p>
            <w:pPr>
              <w:pStyle w:val="46"/>
              <w:spacing w:line="240" w:lineRule="auto"/>
              <w:rPr>
                <w:rFonts w:ascii="宋体" w:hAnsi="宋体"/>
                <w:snapToGrid/>
                <w:color w:val="auto"/>
                <w:spacing w:val="0"/>
                <w:kern w:val="2"/>
                <w:sz w:val="21"/>
                <w:szCs w:val="21"/>
              </w:rPr>
            </w:pPr>
            <w:r>
              <w:rPr>
                <w:rFonts w:hint="eastAsia" w:ascii="宋体" w:hAnsi="宋体"/>
                <w:snapToGrid/>
                <w:color w:val="auto"/>
                <w:spacing w:val="0"/>
                <w:kern w:val="2"/>
                <w:sz w:val="21"/>
                <w:szCs w:val="21"/>
              </w:rPr>
              <w:t>自合同签订之日起30个工作日内完成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1094" w:type="dxa"/>
            <w:vMerge w:val="continue"/>
            <w:noWrap/>
            <w:vAlign w:val="center"/>
          </w:tcPr>
          <w:p>
            <w:pPr>
              <w:jc w:val="center"/>
              <w:rPr>
                <w:color w:val="auto"/>
                <w:szCs w:val="21"/>
              </w:rPr>
            </w:pPr>
          </w:p>
        </w:tc>
        <w:tc>
          <w:tcPr>
            <w:tcW w:w="2788" w:type="dxa"/>
            <w:tcBorders>
              <w:top w:val="single" w:color="auto" w:sz="4" w:space="0"/>
            </w:tcBorders>
            <w:noWrap/>
            <w:vAlign w:val="center"/>
          </w:tcPr>
          <w:p>
            <w:pPr>
              <w:jc w:val="center"/>
              <w:rPr>
                <w:rFonts w:ascii="宋体"/>
                <w:bCs/>
                <w:color w:val="auto"/>
                <w:szCs w:val="21"/>
              </w:rPr>
            </w:pPr>
            <w:r>
              <w:rPr>
                <w:rFonts w:hint="eastAsia" w:ascii="宋体"/>
                <w:bCs/>
                <w:color w:val="auto"/>
                <w:szCs w:val="21"/>
              </w:rPr>
              <w:t>职业病危害因素检测</w:t>
            </w:r>
          </w:p>
        </w:tc>
        <w:tc>
          <w:tcPr>
            <w:tcW w:w="2751" w:type="dxa"/>
            <w:vMerge w:val="continue"/>
            <w:noWrap/>
            <w:vAlign w:val="center"/>
          </w:tcPr>
          <w:p>
            <w:pPr>
              <w:rPr>
                <w:rFonts w:ascii="宋体"/>
                <w:bCs/>
                <w:color w:val="auto"/>
                <w:szCs w:val="21"/>
              </w:rPr>
            </w:pPr>
          </w:p>
        </w:tc>
        <w:tc>
          <w:tcPr>
            <w:tcW w:w="2320" w:type="dxa"/>
            <w:vMerge w:val="continue"/>
            <w:noWrap/>
            <w:vAlign w:val="center"/>
          </w:tcPr>
          <w:p>
            <w:pPr>
              <w:pStyle w:val="46"/>
              <w:spacing w:line="240" w:lineRule="auto"/>
              <w:rPr>
                <w:rFonts w:ascii="宋体" w:hAnsi="宋体"/>
                <w:snapToGrid/>
                <w:color w:val="auto"/>
                <w:spacing w:val="0"/>
                <w:kern w:val="2"/>
                <w:sz w:val="21"/>
                <w:szCs w:val="21"/>
              </w:rPr>
            </w:pPr>
          </w:p>
        </w:tc>
      </w:tr>
    </w:tbl>
    <w:p>
      <w:pPr>
        <w:tabs>
          <w:tab w:val="left" w:pos="7740"/>
        </w:tabs>
        <w:adjustRightInd w:val="0"/>
        <w:snapToGrid w:val="0"/>
        <w:rPr>
          <w:rFonts w:ascii="宋体" w:hAnsi="宋体"/>
          <w:color w:val="auto"/>
          <w:sz w:val="24"/>
        </w:rPr>
      </w:pPr>
    </w:p>
    <w:p>
      <w:pPr>
        <w:pStyle w:val="30"/>
        <w:rPr>
          <w:color w:val="auto"/>
        </w:rPr>
      </w:pPr>
    </w:p>
    <w:p>
      <w:pPr>
        <w:spacing w:line="500" w:lineRule="exact"/>
        <w:ind w:firstLine="436" w:firstLineChars="200"/>
        <w:rPr>
          <w:rFonts w:ascii="宋体" w:hAnsi="宋体"/>
          <w:color w:val="auto"/>
          <w:u w:val="single"/>
        </w:rPr>
      </w:pPr>
      <w:r>
        <w:rPr>
          <w:rFonts w:hint="eastAsia"/>
          <w:color w:val="auto"/>
          <w:spacing w:val="4"/>
        </w:rPr>
        <w:t>响应供应商名称（盖公章）：</w:t>
      </w:r>
    </w:p>
    <w:p>
      <w:pPr>
        <w:rPr>
          <w:color w:val="auto"/>
          <w:spacing w:val="4"/>
        </w:rPr>
      </w:pPr>
    </w:p>
    <w:p>
      <w:pPr>
        <w:widowControl/>
        <w:ind w:firstLine="436" w:firstLineChars="200"/>
        <w:jc w:val="left"/>
        <w:rPr>
          <w:color w:val="auto"/>
          <w:spacing w:val="4"/>
          <w:u w:val="single"/>
        </w:rPr>
      </w:pPr>
      <w:r>
        <w:rPr>
          <w:rFonts w:hint="eastAsia"/>
          <w:color w:val="auto"/>
          <w:spacing w:val="4"/>
        </w:rPr>
        <w:t>日期：</w:t>
      </w:r>
    </w:p>
    <w:p>
      <w:pPr>
        <w:widowControl/>
        <w:jc w:val="left"/>
        <w:rPr>
          <w:b/>
          <w:color w:val="auto"/>
        </w:rPr>
      </w:pPr>
    </w:p>
    <w:p>
      <w:pPr>
        <w:spacing w:line="500" w:lineRule="exact"/>
        <w:rPr>
          <w:rFonts w:ascii="宋体" w:hAnsi="宋体"/>
          <w:b/>
          <w:color w:val="auto"/>
          <w:spacing w:val="4"/>
          <w:szCs w:val="21"/>
        </w:rPr>
      </w:pPr>
      <w:bookmarkStart w:id="36" w:name="_Toc192662843"/>
      <w:bookmarkStart w:id="37" w:name="_Toc275865611"/>
      <w:r>
        <w:rPr>
          <w:rFonts w:hint="eastAsia" w:ascii="宋体" w:hAnsi="宋体"/>
          <w:b/>
          <w:color w:val="auto"/>
          <w:spacing w:val="4"/>
          <w:szCs w:val="21"/>
        </w:rPr>
        <w:t>注：</w:t>
      </w:r>
    </w:p>
    <w:p>
      <w:pPr>
        <w:widowControl/>
        <w:numPr>
          <w:ilvl w:val="0"/>
          <w:numId w:val="14"/>
        </w:numPr>
        <w:spacing w:line="340" w:lineRule="exact"/>
        <w:jc w:val="left"/>
        <w:rPr>
          <w:rFonts w:ascii="宋体" w:hAnsi="宋体" w:cs="宋体"/>
          <w:b/>
          <w:bCs/>
          <w:color w:val="auto"/>
          <w:kern w:val="0"/>
          <w:szCs w:val="21"/>
        </w:rPr>
      </w:pPr>
      <w:r>
        <w:rPr>
          <w:rFonts w:hint="eastAsia" w:ascii="宋体" w:hAnsi="宋体" w:cs="宋体"/>
          <w:b/>
          <w:bCs/>
          <w:color w:val="auto"/>
          <w:kern w:val="0"/>
          <w:szCs w:val="21"/>
        </w:rPr>
        <w:t>供应商必须按报价表的格式填写，不得增加或删除表格内容，不接受有选择性的报价；</w:t>
      </w:r>
    </w:p>
    <w:p>
      <w:pPr>
        <w:widowControl/>
        <w:numPr>
          <w:ilvl w:val="0"/>
          <w:numId w:val="14"/>
        </w:numPr>
        <w:spacing w:line="340" w:lineRule="exact"/>
        <w:jc w:val="left"/>
        <w:rPr>
          <w:rFonts w:ascii="宋体" w:hAnsi="宋体" w:cs="宋体"/>
          <w:b/>
          <w:color w:val="auto"/>
          <w:kern w:val="0"/>
          <w:szCs w:val="21"/>
        </w:rPr>
      </w:pPr>
      <w:r>
        <w:rPr>
          <w:rFonts w:hint="eastAsia" w:ascii="宋体" w:hAnsi="宋体" w:cs="宋体"/>
          <w:b/>
          <w:color w:val="auto"/>
          <w:kern w:val="0"/>
          <w:szCs w:val="21"/>
        </w:rPr>
        <w:t>报价均应包含国家规定的税费。</w:t>
      </w:r>
    </w:p>
    <w:p>
      <w:pPr>
        <w:spacing w:line="440" w:lineRule="exact"/>
        <w:rPr>
          <w:rFonts w:ascii="宋体" w:hAnsi="宋体" w:cs="宋体"/>
          <w:b/>
          <w:color w:val="auto"/>
          <w:sz w:val="32"/>
          <w:szCs w:val="32"/>
        </w:rPr>
      </w:pPr>
      <w:r>
        <w:rPr>
          <w:bCs/>
          <w:color w:val="auto"/>
        </w:rPr>
        <w:br w:type="page"/>
      </w:r>
      <w:bookmarkEnd w:id="36"/>
      <w:bookmarkEnd w:id="37"/>
      <w:bookmarkStart w:id="38" w:name="_Toc229227176"/>
    </w:p>
    <w:bookmarkEnd w:id="38"/>
    <w:p>
      <w:pPr>
        <w:pStyle w:val="6"/>
        <w:tabs>
          <w:tab w:val="left" w:pos="709"/>
        </w:tabs>
        <w:snapToGrid w:val="0"/>
        <w:spacing w:beforeLines="40" w:afterLines="100"/>
        <w:ind w:firstLine="0" w:firstLineChars="0"/>
        <w:jc w:val="center"/>
        <w:rPr>
          <w:rFonts w:ascii="宋体" w:hAnsi="宋体" w:cs="宋体"/>
          <w:b/>
          <w:color w:val="auto"/>
          <w:sz w:val="32"/>
          <w:szCs w:val="32"/>
        </w:rPr>
      </w:pPr>
      <w:r>
        <w:rPr>
          <w:rFonts w:hint="eastAsia" w:ascii="宋体" w:hAnsi="宋体" w:cs="宋体"/>
          <w:b/>
          <w:color w:val="auto"/>
          <w:sz w:val="32"/>
          <w:szCs w:val="32"/>
        </w:rPr>
        <w:t>招标代理服务费承诺书</w:t>
      </w:r>
    </w:p>
    <w:p>
      <w:pPr>
        <w:spacing w:line="360" w:lineRule="auto"/>
        <w:ind w:left="315" w:right="279" w:rightChars="133"/>
        <w:rPr>
          <w:rFonts w:ascii="宋体" w:hAnsi="宋体" w:cs="宋体"/>
          <w:b/>
          <w:color w:val="auto"/>
          <w:szCs w:val="21"/>
        </w:rPr>
      </w:pPr>
      <w:r>
        <w:rPr>
          <w:rFonts w:hint="eastAsia" w:ascii="宋体" w:hAnsi="宋体" w:cs="宋体"/>
          <w:b/>
          <w:color w:val="auto"/>
          <w:szCs w:val="21"/>
        </w:rPr>
        <w:t>广东秤风采购招标有限公司:</w:t>
      </w:r>
    </w:p>
    <w:p>
      <w:pPr>
        <w:spacing w:line="360" w:lineRule="auto"/>
        <w:ind w:left="315" w:leftChars="150" w:right="279" w:rightChars="133" w:firstLine="420" w:firstLineChars="200"/>
        <w:rPr>
          <w:rFonts w:ascii="宋体" w:hAnsi="宋体" w:cs="宋体"/>
          <w:color w:val="auto"/>
          <w:szCs w:val="21"/>
        </w:rPr>
      </w:pPr>
      <w:r>
        <w:rPr>
          <w:rFonts w:hint="eastAsia" w:ascii="宋体" w:hAnsi="宋体" w:cs="宋体"/>
          <w:color w:val="auto"/>
          <w:szCs w:val="21"/>
        </w:rPr>
        <w:t>本公司</w:t>
      </w:r>
      <w:r>
        <w:rPr>
          <w:rFonts w:hint="eastAsia" w:ascii="宋体" w:hAnsi="宋体" w:cs="宋体"/>
          <w:color w:val="auto"/>
          <w:szCs w:val="21"/>
          <w:u w:val="single"/>
        </w:rPr>
        <w:t xml:space="preserve">       (响应供应商名称)        </w:t>
      </w:r>
      <w:r>
        <w:rPr>
          <w:rFonts w:hint="eastAsia" w:ascii="宋体" w:hAnsi="宋体" w:cs="宋体"/>
          <w:color w:val="auto"/>
          <w:szCs w:val="21"/>
        </w:rPr>
        <w:t>在参加在贵公司举行的2023年花都区农产品质量安全基层检测技术人员培训及危险化学品使用储存场所安全现状评价和安全技术服务、职业病危害因素检测采购项目公开竞价采购(项目编号：GDCFCG-GDGZ-20230045)的招标中如获成交，我公司保证按照竞价文件规定缴纳“招标代理服务费”。</w:t>
      </w:r>
    </w:p>
    <w:p>
      <w:pPr>
        <w:spacing w:line="360" w:lineRule="auto"/>
        <w:ind w:left="315" w:leftChars="150" w:right="279" w:rightChars="133" w:firstLine="420" w:firstLineChars="200"/>
        <w:rPr>
          <w:rFonts w:ascii="宋体" w:hAnsi="宋体" w:cs="宋体"/>
          <w:color w:val="auto"/>
          <w:szCs w:val="21"/>
        </w:rPr>
      </w:pPr>
      <w:r>
        <w:rPr>
          <w:rFonts w:hint="eastAsia" w:ascii="宋体" w:hAnsi="宋体" w:cs="宋体"/>
          <w:color w:val="auto"/>
          <w:szCs w:val="21"/>
        </w:rPr>
        <w:t>如我方违反上款承诺，愿承担全部由此引起的法律责任。</w:t>
      </w:r>
    </w:p>
    <w:p>
      <w:pPr>
        <w:spacing w:line="360" w:lineRule="auto"/>
        <w:ind w:left="315" w:leftChars="150" w:right="279" w:rightChars="133" w:firstLine="420" w:firstLineChars="200"/>
        <w:rPr>
          <w:rFonts w:ascii="宋体" w:hAnsi="宋体" w:cs="宋体"/>
          <w:color w:val="auto"/>
          <w:szCs w:val="21"/>
        </w:rPr>
      </w:pPr>
      <w:r>
        <w:rPr>
          <w:rFonts w:hint="eastAsia" w:ascii="宋体" w:hAnsi="宋体" w:cs="宋体"/>
          <w:color w:val="auto"/>
          <w:szCs w:val="21"/>
        </w:rPr>
        <w:t>特此承诺!</w:t>
      </w:r>
    </w:p>
    <w:p>
      <w:pPr>
        <w:spacing w:line="520" w:lineRule="exact"/>
        <w:ind w:left="315"/>
        <w:rPr>
          <w:rFonts w:ascii="宋体" w:hAnsi="宋体" w:cs="宋体"/>
          <w:color w:val="auto"/>
          <w:szCs w:val="21"/>
        </w:rPr>
      </w:pPr>
    </w:p>
    <w:p>
      <w:pPr>
        <w:spacing w:line="500" w:lineRule="exact"/>
        <w:ind w:firstLine="436" w:firstLineChars="200"/>
        <w:rPr>
          <w:rFonts w:ascii="宋体" w:hAnsi="宋体"/>
          <w:color w:val="auto"/>
          <w:u w:val="single"/>
        </w:rPr>
      </w:pPr>
      <w:r>
        <w:rPr>
          <w:rFonts w:hint="eastAsia"/>
          <w:color w:val="auto"/>
          <w:spacing w:val="4"/>
        </w:rPr>
        <w:t>响应供应商名称（盖公章）：</w:t>
      </w:r>
    </w:p>
    <w:p>
      <w:pPr>
        <w:rPr>
          <w:color w:val="auto"/>
          <w:spacing w:val="4"/>
        </w:rPr>
      </w:pPr>
    </w:p>
    <w:p>
      <w:pPr>
        <w:widowControl/>
        <w:ind w:firstLine="436" w:firstLineChars="200"/>
        <w:jc w:val="left"/>
        <w:rPr>
          <w:color w:val="auto"/>
          <w:spacing w:val="4"/>
          <w:u w:val="single"/>
        </w:rPr>
      </w:pPr>
      <w:r>
        <w:rPr>
          <w:rFonts w:hint="eastAsia"/>
          <w:color w:val="auto"/>
          <w:spacing w:val="4"/>
        </w:rPr>
        <w:t>日期：</w:t>
      </w:r>
    </w:p>
    <w:p>
      <w:pPr>
        <w:pStyle w:val="11"/>
        <w:spacing w:line="360" w:lineRule="auto"/>
        <w:rPr>
          <w:rFonts w:hAnsi="宋体" w:cs="宋体"/>
          <w:color w:val="auto"/>
          <w:sz w:val="21"/>
          <w:szCs w:val="21"/>
        </w:rPr>
      </w:pPr>
    </w:p>
    <w:sectPr>
      <w:footerReference r:id="rId6" w:type="default"/>
      <w:pgSz w:w="11906" w:h="16838"/>
      <w:pgMar w:top="1440" w:right="1274" w:bottom="1440" w:left="16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3073" o:spid="_x0000_s3073"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path/>
          <v:fill on="f" focussize="0,0"/>
          <v:stroke on="f" weight="1.2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3420"/>
    </w:pPr>
    <w:r>
      <w:rPr>
        <w:rFonts w:ascii="宋体" w:hAnsi="宋体"/>
        <w:sz w:val="21"/>
        <w:szCs w:val="21"/>
      </w:rPr>
      <w:fldChar w:fldCharType="begin"/>
    </w:r>
    <w:r>
      <w:rPr>
        <w:rFonts w:ascii="宋体" w:hAnsi="宋体"/>
        <w:sz w:val="21"/>
        <w:szCs w:val="21"/>
      </w:rPr>
      <w:instrText xml:space="preserve"> PAGE  \* ArabicDash  \* MERGEFORMAT </w:instrText>
    </w:r>
    <w:r>
      <w:rPr>
        <w:rFonts w:ascii="宋体" w:hAnsi="宋体"/>
        <w:sz w:val="21"/>
        <w:szCs w:val="21"/>
      </w:rPr>
      <w:fldChar w:fldCharType="separate"/>
    </w:r>
    <w:r>
      <w:rPr>
        <w:rFonts w:ascii="宋体" w:hAnsi="宋体"/>
        <w:sz w:val="21"/>
        <w:szCs w:val="21"/>
      </w:rPr>
      <w:t>- 21 -</w:t>
    </w:r>
    <w:r>
      <w:rPr>
        <w:rFonts w:ascii="宋体" w:hAnsi="宋体"/>
        <w:sz w:val="21"/>
        <w:szCs w:val="21"/>
      </w:rPr>
      <w:fldChar w:fldCharType="end"/>
    </w:r>
    <w:r>
      <w:rPr>
        <w:rFonts w:hint="eastAsia" w:ascii="宋体" w:hAnsi="宋体"/>
        <w:sz w:val="21"/>
        <w:szCs w:val="21"/>
      </w:rPr>
      <w:t>广东秤风采购招标有限公司编制</w:t>
    </w:r>
  </w:p>
  <w:p>
    <w:pPr>
      <w:pStyle w:val="14"/>
      <w:ind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rFonts w:hint="eastAsia"/>
        <w:sz w:val="21"/>
        <w:szCs w:val="21"/>
        <w:shd w:val="clear" w:color="auto" w:fill="E0E0E0"/>
      </w:rPr>
      <w:t>2023年花都区农产品质量安全基层检测技术人员培训及危险化学品使用储存场所安全现状评价和安全技术服务、职业病危害因素检测采购项目竞价文件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75D7CF"/>
    <w:multiLevelType w:val="multilevel"/>
    <w:tmpl w:val="C575D7CF"/>
    <w:lvl w:ilvl="0" w:tentative="0">
      <w:start w:val="1"/>
      <w:numFmt w:val="decimal"/>
      <w:lvlText w:val="%1"/>
      <w:lvlJc w:val="left"/>
      <w:pPr>
        <w:tabs>
          <w:tab w:val="left" w:pos="540"/>
        </w:tabs>
        <w:ind w:left="540" w:hanging="360"/>
      </w:pPr>
      <w:rPr>
        <w:rFonts w:hint="default" w:ascii="宋体" w:hAnsi="宋体" w:eastAsia="宋体" w:cs="Times New Roman"/>
        <w:b w:val="0"/>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
    <w:nsid w:val="015F5718"/>
    <w:multiLevelType w:val="multilevel"/>
    <w:tmpl w:val="015F5718"/>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rPr>
        <w:color w:val="auto"/>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05996981"/>
    <w:multiLevelType w:val="multilevel"/>
    <w:tmpl w:val="05996981"/>
    <w:lvl w:ilvl="0" w:tentative="0">
      <w:start w:val="1"/>
      <w:numFmt w:val="decimal"/>
      <w:lvlText w:val="%1."/>
      <w:lvlJc w:val="left"/>
      <w:pPr>
        <w:tabs>
          <w:tab w:val="left" w:pos="420"/>
        </w:tabs>
        <w:ind w:left="420" w:hanging="420"/>
      </w:pPr>
      <w:rPr>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7445E29"/>
    <w:multiLevelType w:val="multilevel"/>
    <w:tmpl w:val="07445E29"/>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rPr>
        <w:color w:val="auto"/>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1616DDF5"/>
    <w:multiLevelType w:val="multilevel"/>
    <w:tmpl w:val="1616DDF5"/>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D408727"/>
    <w:multiLevelType w:val="singleLevel"/>
    <w:tmpl w:val="2D408727"/>
    <w:lvl w:ilvl="0" w:tentative="0">
      <w:start w:val="1"/>
      <w:numFmt w:val="decimal"/>
      <w:lvlText w:val="%1."/>
      <w:lvlJc w:val="left"/>
      <w:pPr>
        <w:ind w:left="425" w:hanging="425"/>
      </w:pPr>
      <w:rPr>
        <w:rFonts w:hint="default"/>
      </w:rPr>
    </w:lvl>
  </w:abstractNum>
  <w:abstractNum w:abstractNumId="6">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7">
    <w:nsid w:val="49B0187A"/>
    <w:multiLevelType w:val="multilevel"/>
    <w:tmpl w:val="49B0187A"/>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9">
    <w:nsid w:val="4EBA76EC"/>
    <w:multiLevelType w:val="multilevel"/>
    <w:tmpl w:val="4EBA76EC"/>
    <w:lvl w:ilvl="0" w:tentative="0">
      <w:start w:val="1"/>
      <w:numFmt w:val="chineseCountingThousand"/>
      <w:lvlText w:val="%1、"/>
      <w:lvlJc w:val="left"/>
      <w:pPr>
        <w:ind w:left="420" w:hanging="420"/>
      </w:pPr>
      <w:rPr>
        <w:rFonts w:hint="eastAsia" w:ascii="宋体" w:hAnsi="宋体" w:eastAsia="宋体" w:cs="宋体"/>
        <w:b/>
        <w:bCs/>
        <w:color w:val="auto"/>
        <w:lang w:val="en-US"/>
      </w:rPr>
    </w:lvl>
    <w:lvl w:ilvl="1" w:tentative="0">
      <w:start w:val="1"/>
      <w:numFmt w:val="decimal"/>
      <w:lvlText w:val="（%2）"/>
      <w:lvlJc w:val="left"/>
      <w:pPr>
        <w:ind w:left="1140" w:hanging="720"/>
      </w:pPr>
      <w:rPr>
        <w:rFonts w:hint="default" w:ascii="宋体" w:hAnsi="宋体" w:cs="Times New Roman"/>
        <w:color w:val="auto"/>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4DB1279"/>
    <w:multiLevelType w:val="multilevel"/>
    <w:tmpl w:val="54DB1279"/>
    <w:lvl w:ilvl="0" w:tentative="0">
      <w:start w:val="1"/>
      <w:numFmt w:val="decimal"/>
      <w:suff w:val="nothing"/>
      <w:lvlText w:val="3.%1 "/>
      <w:lvlJc w:val="left"/>
      <w:pPr>
        <w:tabs>
          <w:tab w:val="left" w:pos="0"/>
        </w:tabs>
        <w:ind w:left="0" w:firstLine="0"/>
      </w:pPr>
      <w:rPr>
        <w:rFonts w:hint="eastAsia" w:ascii="宋体" w:hAnsi="宋体" w:eastAsia="宋体" w:cs="宋体"/>
      </w:rPr>
    </w:lvl>
    <w:lvl w:ilvl="1" w:tentative="0">
      <w:start w:val="1"/>
      <w:numFmt w:val="chineseCounting"/>
      <w:pStyle w:val="4"/>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59031762"/>
    <w:multiLevelType w:val="multilevel"/>
    <w:tmpl w:val="59031762"/>
    <w:lvl w:ilvl="0" w:tentative="0">
      <w:start w:val="1"/>
      <w:numFmt w:val="decimal"/>
      <w:lvlText w:val="%1"/>
      <w:lvlJc w:val="left"/>
      <w:pPr>
        <w:tabs>
          <w:tab w:val="left" w:pos="425"/>
        </w:tabs>
        <w:ind w:left="425" w:hanging="425"/>
      </w:pPr>
      <w:rPr>
        <w:rFonts w:hint="eastAsia" w:ascii="宋体" w:hAnsi="宋体" w:eastAsia="宋体"/>
        <w:b/>
      </w:rPr>
    </w:lvl>
    <w:lvl w:ilvl="1" w:tentative="0">
      <w:start w:val="1"/>
      <w:numFmt w:val="decimal"/>
      <w:lvlText w:val="%1.%2."/>
      <w:lvlJc w:val="left"/>
      <w:pPr>
        <w:tabs>
          <w:tab w:val="left" w:pos="567"/>
        </w:tabs>
        <w:ind w:left="567" w:hanging="567"/>
      </w:pPr>
      <w:rPr>
        <w:rFonts w:hint="eastAsia" w:ascii="宋体" w:hAnsi="宋体" w:eastAsia="宋体"/>
        <w:b w:val="0"/>
        <w:dstrike w:val="0"/>
        <w:color w:val="auto"/>
        <w:sz w:val="21"/>
        <w:szCs w:val="21"/>
      </w:rPr>
    </w:lvl>
    <w:lvl w:ilvl="2" w:tentative="0">
      <w:start w:val="1"/>
      <w:numFmt w:val="decimal"/>
      <w:lvlText w:val="%1.%2.%3."/>
      <w:lvlJc w:val="left"/>
      <w:pPr>
        <w:tabs>
          <w:tab w:val="left" w:pos="709"/>
        </w:tabs>
        <w:ind w:left="709" w:hanging="709"/>
      </w:pPr>
      <w:rPr>
        <w:rFonts w:hint="eastAsia" w:ascii="宋体" w:hAnsi="宋体" w:eastAsia="宋体"/>
        <w:b w:val="0"/>
        <w:color w:val="auto"/>
        <w:sz w:val="21"/>
        <w:szCs w:val="21"/>
      </w:rPr>
    </w:lvl>
    <w:lvl w:ilvl="3" w:tentative="0">
      <w:start w:val="1"/>
      <w:numFmt w:val="decimal"/>
      <w:lvlText w:val="%1.%2.%3.%4."/>
      <w:lvlJc w:val="left"/>
      <w:pPr>
        <w:tabs>
          <w:tab w:val="left" w:pos="851"/>
        </w:tabs>
        <w:ind w:left="851" w:hanging="851"/>
      </w:pPr>
      <w:rPr>
        <w:rFonts w:hint="eastAsia" w:ascii="宋体" w:hAnsi="宋体" w:eastAsia="宋体"/>
        <w:b w:val="0"/>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63711F44"/>
    <w:multiLevelType w:val="multilevel"/>
    <w:tmpl w:val="63711F44"/>
    <w:lvl w:ilvl="0" w:tentative="0">
      <w:start w:val="1"/>
      <w:numFmt w:val="chineseCountingThousand"/>
      <w:lvlText w:val="第%1章"/>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2"/>
  </w:num>
  <w:num w:numId="3">
    <w:abstractNumId w:val="9"/>
  </w:num>
  <w:num w:numId="4">
    <w:abstractNumId w:val="1"/>
  </w:num>
  <w:num w:numId="5">
    <w:abstractNumId w:val="3"/>
  </w:num>
  <w:num w:numId="6">
    <w:abstractNumId w:val="11"/>
  </w:num>
  <w:num w:numId="7">
    <w:abstractNumId w:val="0"/>
  </w:num>
  <w:num w:numId="8">
    <w:abstractNumId w:val="2"/>
  </w:num>
  <w:num w:numId="9">
    <w:abstractNumId w:val="4"/>
  </w:num>
  <w:num w:numId="10">
    <w:abstractNumId w:val="5"/>
  </w:num>
  <w:num w:numId="11">
    <w:abstractNumId w:val="7"/>
  </w:num>
  <w:num w:numId="12">
    <w:abstractNumId w:val="8"/>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1"/>
  </w:compat>
  <w:docVars>
    <w:docVar w:name="commondata" w:val="eyJoZGlkIjoiNDRkZTExMzQ0YjgzNTg1ZmU2MWFlZjUwNjNmMzJkYmMifQ=="/>
  </w:docVars>
  <w:rsids>
    <w:rsidRoot w:val="00F73C92"/>
    <w:rsid w:val="00005BBF"/>
    <w:rsid w:val="00006912"/>
    <w:rsid w:val="000328FD"/>
    <w:rsid w:val="00052AC5"/>
    <w:rsid w:val="0005645F"/>
    <w:rsid w:val="00075736"/>
    <w:rsid w:val="000777AC"/>
    <w:rsid w:val="00093EFA"/>
    <w:rsid w:val="000A2565"/>
    <w:rsid w:val="000B518D"/>
    <w:rsid w:val="000E7AE2"/>
    <w:rsid w:val="00130230"/>
    <w:rsid w:val="00132764"/>
    <w:rsid w:val="001523D5"/>
    <w:rsid w:val="00166F10"/>
    <w:rsid w:val="00170DD2"/>
    <w:rsid w:val="0019301F"/>
    <w:rsid w:val="00195BAC"/>
    <w:rsid w:val="001B4182"/>
    <w:rsid w:val="001B673A"/>
    <w:rsid w:val="001C2DB1"/>
    <w:rsid w:val="00204EAC"/>
    <w:rsid w:val="00277324"/>
    <w:rsid w:val="00281192"/>
    <w:rsid w:val="00287152"/>
    <w:rsid w:val="00290C5B"/>
    <w:rsid w:val="002A7FF0"/>
    <w:rsid w:val="002B40F8"/>
    <w:rsid w:val="002D7602"/>
    <w:rsid w:val="002E0F56"/>
    <w:rsid w:val="002E50FF"/>
    <w:rsid w:val="003072B6"/>
    <w:rsid w:val="00326399"/>
    <w:rsid w:val="003413C5"/>
    <w:rsid w:val="00344180"/>
    <w:rsid w:val="00377439"/>
    <w:rsid w:val="00377B5A"/>
    <w:rsid w:val="00377D61"/>
    <w:rsid w:val="003B55D2"/>
    <w:rsid w:val="003B600B"/>
    <w:rsid w:val="003C10A0"/>
    <w:rsid w:val="003E2A0E"/>
    <w:rsid w:val="003F115C"/>
    <w:rsid w:val="00424D6E"/>
    <w:rsid w:val="0043044E"/>
    <w:rsid w:val="00442379"/>
    <w:rsid w:val="00450CE6"/>
    <w:rsid w:val="00453B64"/>
    <w:rsid w:val="00475CEF"/>
    <w:rsid w:val="00491B29"/>
    <w:rsid w:val="00493BF3"/>
    <w:rsid w:val="004C52F7"/>
    <w:rsid w:val="004C6272"/>
    <w:rsid w:val="004D24AD"/>
    <w:rsid w:val="00500BE7"/>
    <w:rsid w:val="0050260F"/>
    <w:rsid w:val="00545FC5"/>
    <w:rsid w:val="00553CF5"/>
    <w:rsid w:val="005739D8"/>
    <w:rsid w:val="00590538"/>
    <w:rsid w:val="00595B2C"/>
    <w:rsid w:val="005B4B3D"/>
    <w:rsid w:val="005D513A"/>
    <w:rsid w:val="005D6489"/>
    <w:rsid w:val="005F668F"/>
    <w:rsid w:val="00657E1D"/>
    <w:rsid w:val="0066173A"/>
    <w:rsid w:val="0067525C"/>
    <w:rsid w:val="00677D03"/>
    <w:rsid w:val="0068635A"/>
    <w:rsid w:val="006901DA"/>
    <w:rsid w:val="006B4AE0"/>
    <w:rsid w:val="006C4D5F"/>
    <w:rsid w:val="006C5A64"/>
    <w:rsid w:val="006F57ED"/>
    <w:rsid w:val="00705B72"/>
    <w:rsid w:val="00715536"/>
    <w:rsid w:val="007204C7"/>
    <w:rsid w:val="007225CC"/>
    <w:rsid w:val="00752808"/>
    <w:rsid w:val="0078077D"/>
    <w:rsid w:val="00797622"/>
    <w:rsid w:val="007A3FF5"/>
    <w:rsid w:val="007A69CA"/>
    <w:rsid w:val="007B5C16"/>
    <w:rsid w:val="007D4C4A"/>
    <w:rsid w:val="007E7781"/>
    <w:rsid w:val="007F5685"/>
    <w:rsid w:val="008018AA"/>
    <w:rsid w:val="00805886"/>
    <w:rsid w:val="008215B7"/>
    <w:rsid w:val="00831DF2"/>
    <w:rsid w:val="00856DAA"/>
    <w:rsid w:val="00867C7D"/>
    <w:rsid w:val="00875A3F"/>
    <w:rsid w:val="008846C8"/>
    <w:rsid w:val="008B3CD7"/>
    <w:rsid w:val="00907436"/>
    <w:rsid w:val="009158C1"/>
    <w:rsid w:val="0092603E"/>
    <w:rsid w:val="00964905"/>
    <w:rsid w:val="009675FB"/>
    <w:rsid w:val="0097048B"/>
    <w:rsid w:val="009820D0"/>
    <w:rsid w:val="009828F4"/>
    <w:rsid w:val="009867D1"/>
    <w:rsid w:val="00986AAC"/>
    <w:rsid w:val="009926AA"/>
    <w:rsid w:val="009A0990"/>
    <w:rsid w:val="009A2ABD"/>
    <w:rsid w:val="009A47C4"/>
    <w:rsid w:val="009D71D0"/>
    <w:rsid w:val="00A14D36"/>
    <w:rsid w:val="00A156AC"/>
    <w:rsid w:val="00A2195B"/>
    <w:rsid w:val="00A555DC"/>
    <w:rsid w:val="00A57CB6"/>
    <w:rsid w:val="00A632EE"/>
    <w:rsid w:val="00A65502"/>
    <w:rsid w:val="00A7206A"/>
    <w:rsid w:val="00A76AE0"/>
    <w:rsid w:val="00AA07B5"/>
    <w:rsid w:val="00AB278C"/>
    <w:rsid w:val="00AB72F8"/>
    <w:rsid w:val="00AD0DEE"/>
    <w:rsid w:val="00AD3BC8"/>
    <w:rsid w:val="00AD5D84"/>
    <w:rsid w:val="00B174D4"/>
    <w:rsid w:val="00B235DB"/>
    <w:rsid w:val="00B405B1"/>
    <w:rsid w:val="00B41C37"/>
    <w:rsid w:val="00B43481"/>
    <w:rsid w:val="00B47DC0"/>
    <w:rsid w:val="00B66820"/>
    <w:rsid w:val="00B75E4C"/>
    <w:rsid w:val="00B852ED"/>
    <w:rsid w:val="00B953B8"/>
    <w:rsid w:val="00B95EC2"/>
    <w:rsid w:val="00BB0BFD"/>
    <w:rsid w:val="00BB39F7"/>
    <w:rsid w:val="00BB3BEE"/>
    <w:rsid w:val="00BB4754"/>
    <w:rsid w:val="00BD4F16"/>
    <w:rsid w:val="00BF49B5"/>
    <w:rsid w:val="00C10027"/>
    <w:rsid w:val="00C12607"/>
    <w:rsid w:val="00C2631D"/>
    <w:rsid w:val="00C565EC"/>
    <w:rsid w:val="00C76CCA"/>
    <w:rsid w:val="00C772E1"/>
    <w:rsid w:val="00CA06C5"/>
    <w:rsid w:val="00CB7553"/>
    <w:rsid w:val="00CE10C4"/>
    <w:rsid w:val="00CE17EB"/>
    <w:rsid w:val="00CF04E5"/>
    <w:rsid w:val="00CF77BA"/>
    <w:rsid w:val="00D141E5"/>
    <w:rsid w:val="00D15DAB"/>
    <w:rsid w:val="00D404E7"/>
    <w:rsid w:val="00D50795"/>
    <w:rsid w:val="00D6044F"/>
    <w:rsid w:val="00D96627"/>
    <w:rsid w:val="00DB0F51"/>
    <w:rsid w:val="00DB4A04"/>
    <w:rsid w:val="00DD3568"/>
    <w:rsid w:val="00E11329"/>
    <w:rsid w:val="00E214C3"/>
    <w:rsid w:val="00E21A91"/>
    <w:rsid w:val="00E269BD"/>
    <w:rsid w:val="00E563C3"/>
    <w:rsid w:val="00E8774C"/>
    <w:rsid w:val="00E910FA"/>
    <w:rsid w:val="00EC0047"/>
    <w:rsid w:val="00F145F8"/>
    <w:rsid w:val="00F21E26"/>
    <w:rsid w:val="00F419A6"/>
    <w:rsid w:val="00F425BD"/>
    <w:rsid w:val="00F73C92"/>
    <w:rsid w:val="00F83372"/>
    <w:rsid w:val="00FA307D"/>
    <w:rsid w:val="01114787"/>
    <w:rsid w:val="038511A1"/>
    <w:rsid w:val="03B86720"/>
    <w:rsid w:val="05085485"/>
    <w:rsid w:val="05EE21A6"/>
    <w:rsid w:val="060A6FDB"/>
    <w:rsid w:val="09750C0F"/>
    <w:rsid w:val="0AFF7905"/>
    <w:rsid w:val="0F3F27F8"/>
    <w:rsid w:val="0FB029A1"/>
    <w:rsid w:val="10C92039"/>
    <w:rsid w:val="11C93240"/>
    <w:rsid w:val="127777A6"/>
    <w:rsid w:val="14070156"/>
    <w:rsid w:val="153D2B3C"/>
    <w:rsid w:val="1903603C"/>
    <w:rsid w:val="1A736AA5"/>
    <w:rsid w:val="1BB90E2F"/>
    <w:rsid w:val="20727F6E"/>
    <w:rsid w:val="29E928DF"/>
    <w:rsid w:val="2B8E1711"/>
    <w:rsid w:val="2C876181"/>
    <w:rsid w:val="2D124DBC"/>
    <w:rsid w:val="2E0A2F9D"/>
    <w:rsid w:val="2E34070A"/>
    <w:rsid w:val="2F58050C"/>
    <w:rsid w:val="31280191"/>
    <w:rsid w:val="31503B47"/>
    <w:rsid w:val="338B2766"/>
    <w:rsid w:val="344B56BC"/>
    <w:rsid w:val="36B31ED3"/>
    <w:rsid w:val="37087B6D"/>
    <w:rsid w:val="3821204D"/>
    <w:rsid w:val="383647D6"/>
    <w:rsid w:val="3B8526FD"/>
    <w:rsid w:val="3CA37266"/>
    <w:rsid w:val="3E5E0B0C"/>
    <w:rsid w:val="43D2655C"/>
    <w:rsid w:val="47A80DE1"/>
    <w:rsid w:val="48CE0D2A"/>
    <w:rsid w:val="48E92086"/>
    <w:rsid w:val="4AA0437E"/>
    <w:rsid w:val="4AB663B6"/>
    <w:rsid w:val="4BF947AC"/>
    <w:rsid w:val="4EDD6886"/>
    <w:rsid w:val="5253273C"/>
    <w:rsid w:val="54313DF3"/>
    <w:rsid w:val="54B73456"/>
    <w:rsid w:val="556D4AB3"/>
    <w:rsid w:val="5D762255"/>
    <w:rsid w:val="5D7E335A"/>
    <w:rsid w:val="5F326535"/>
    <w:rsid w:val="62AC760D"/>
    <w:rsid w:val="63B138BC"/>
    <w:rsid w:val="6714680B"/>
    <w:rsid w:val="68C817AD"/>
    <w:rsid w:val="693E32A0"/>
    <w:rsid w:val="696D3A32"/>
    <w:rsid w:val="6A114F5F"/>
    <w:rsid w:val="6B393407"/>
    <w:rsid w:val="6B794984"/>
    <w:rsid w:val="6D651CE6"/>
    <w:rsid w:val="6DA560EA"/>
    <w:rsid w:val="6E185872"/>
    <w:rsid w:val="6F3C5826"/>
    <w:rsid w:val="6FE07C8E"/>
    <w:rsid w:val="73802021"/>
    <w:rsid w:val="74D215F5"/>
    <w:rsid w:val="754D7793"/>
    <w:rsid w:val="762B3B5C"/>
    <w:rsid w:val="78614319"/>
    <w:rsid w:val="7C911BB8"/>
    <w:rsid w:val="7D5F2BF8"/>
    <w:rsid w:val="7E696347"/>
    <w:rsid w:val="7EC36A8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1"/>
    <w:qFormat/>
    <w:uiPriority w:val="0"/>
    <w:pPr>
      <w:keepNext/>
      <w:keepLines/>
      <w:widowControl/>
      <w:numPr>
        <w:ilvl w:val="1"/>
        <w:numId w:val="1"/>
      </w:numPr>
      <w:tabs>
        <w:tab w:val="left" w:pos="1145"/>
      </w:tabs>
      <w:spacing w:before="260" w:after="260"/>
      <w:jc w:val="center"/>
      <w:outlineLvl w:val="1"/>
    </w:pPr>
    <w:rPr>
      <w:rFonts w:ascii="黑体" w:hAnsi="宋体" w:eastAsia="黑体"/>
      <w:color w:val="000000"/>
      <w:sz w:val="4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5"/>
    <w:qFormat/>
    <w:uiPriority w:val="0"/>
    <w:pPr>
      <w:spacing w:after="120"/>
    </w:pPr>
    <w:rPr>
      <w:kern w:val="0"/>
      <w:sz w:val="20"/>
      <w:szCs w:val="20"/>
    </w:rPr>
  </w:style>
  <w:style w:type="paragraph" w:styleId="5">
    <w:name w:val="toc 7"/>
    <w:basedOn w:val="1"/>
    <w:next w:val="1"/>
    <w:unhideWhenUsed/>
    <w:qFormat/>
    <w:uiPriority w:val="39"/>
    <w:pPr>
      <w:ind w:left="1260"/>
      <w:jc w:val="left"/>
    </w:pPr>
    <w:rPr>
      <w:rFonts w:ascii="Calibri" w:hAnsi="Calibri"/>
      <w:sz w:val="18"/>
      <w:szCs w:val="18"/>
    </w:rPr>
  </w:style>
  <w:style w:type="paragraph" w:styleId="6">
    <w:name w:val="Normal Indent"/>
    <w:basedOn w:val="1"/>
    <w:next w:val="1"/>
    <w:link w:val="32"/>
    <w:qFormat/>
    <w:uiPriority w:val="0"/>
    <w:pPr>
      <w:autoSpaceDE w:val="0"/>
      <w:autoSpaceDN w:val="0"/>
      <w:adjustRightInd w:val="0"/>
      <w:ind w:firstLine="420" w:firstLineChars="200"/>
      <w:jc w:val="left"/>
    </w:pPr>
    <w:rPr>
      <w:rFonts w:ascii="Calibri" w:hAnsi="Calibri"/>
    </w:rPr>
  </w:style>
  <w:style w:type="paragraph" w:styleId="7">
    <w:name w:val="Document Map"/>
    <w:basedOn w:val="1"/>
    <w:link w:val="33"/>
    <w:unhideWhenUsed/>
    <w:qFormat/>
    <w:uiPriority w:val="99"/>
    <w:rPr>
      <w:rFonts w:ascii="宋体"/>
      <w:sz w:val="18"/>
      <w:szCs w:val="18"/>
    </w:rPr>
  </w:style>
  <w:style w:type="paragraph" w:styleId="8">
    <w:name w:val="annotation text"/>
    <w:basedOn w:val="1"/>
    <w:link w:val="34"/>
    <w:unhideWhenUsed/>
    <w:qFormat/>
    <w:uiPriority w:val="99"/>
    <w:pPr>
      <w:jc w:val="left"/>
    </w:pPr>
  </w:style>
  <w:style w:type="paragraph" w:styleId="9">
    <w:name w:val="toc 5"/>
    <w:basedOn w:val="1"/>
    <w:next w:val="1"/>
    <w:unhideWhenUsed/>
    <w:qFormat/>
    <w:uiPriority w:val="39"/>
    <w:pPr>
      <w:ind w:left="840"/>
      <w:jc w:val="left"/>
    </w:pPr>
    <w:rPr>
      <w:rFonts w:ascii="Calibri" w:hAnsi="Calibri"/>
      <w:sz w:val="18"/>
      <w:szCs w:val="18"/>
    </w:rPr>
  </w:style>
  <w:style w:type="paragraph" w:styleId="10">
    <w:name w:val="toc 3"/>
    <w:basedOn w:val="1"/>
    <w:next w:val="1"/>
    <w:unhideWhenUsed/>
    <w:qFormat/>
    <w:uiPriority w:val="39"/>
    <w:pPr>
      <w:ind w:left="420"/>
      <w:jc w:val="left"/>
    </w:pPr>
    <w:rPr>
      <w:rFonts w:ascii="Calibri" w:hAnsi="Calibri"/>
      <w:i/>
      <w:iCs/>
      <w:sz w:val="20"/>
      <w:szCs w:val="20"/>
    </w:rPr>
  </w:style>
  <w:style w:type="paragraph" w:styleId="11">
    <w:name w:val="Plain Text"/>
    <w:basedOn w:val="1"/>
    <w:next w:val="1"/>
    <w:link w:val="36"/>
    <w:qFormat/>
    <w:uiPriority w:val="0"/>
    <w:pPr>
      <w:autoSpaceDE w:val="0"/>
      <w:autoSpaceDN w:val="0"/>
      <w:adjustRightInd w:val="0"/>
      <w:jc w:val="left"/>
    </w:pPr>
    <w:rPr>
      <w:rFonts w:ascii="宋体" w:hAnsi="Courier New"/>
      <w:kern w:val="0"/>
      <w:sz w:val="20"/>
      <w:szCs w:val="20"/>
    </w:rPr>
  </w:style>
  <w:style w:type="paragraph" w:styleId="12">
    <w:name w:val="toc 8"/>
    <w:basedOn w:val="1"/>
    <w:next w:val="1"/>
    <w:unhideWhenUsed/>
    <w:qFormat/>
    <w:uiPriority w:val="39"/>
    <w:pPr>
      <w:ind w:left="1470"/>
      <w:jc w:val="left"/>
    </w:pPr>
    <w:rPr>
      <w:rFonts w:ascii="Calibri" w:hAnsi="Calibri"/>
      <w:sz w:val="18"/>
      <w:szCs w:val="18"/>
    </w:rPr>
  </w:style>
  <w:style w:type="paragraph" w:styleId="13">
    <w:name w:val="Balloon Text"/>
    <w:basedOn w:val="1"/>
    <w:link w:val="37"/>
    <w:unhideWhenUsed/>
    <w:qFormat/>
    <w:uiPriority w:val="99"/>
    <w:rPr>
      <w:sz w:val="18"/>
      <w:szCs w:val="18"/>
    </w:rPr>
  </w:style>
  <w:style w:type="paragraph" w:styleId="14">
    <w:name w:val="footer"/>
    <w:basedOn w:val="1"/>
    <w:link w:val="38"/>
    <w:unhideWhenUsed/>
    <w:qFormat/>
    <w:uiPriority w:val="99"/>
    <w:pPr>
      <w:tabs>
        <w:tab w:val="center" w:pos="4153"/>
        <w:tab w:val="right" w:pos="8306"/>
      </w:tabs>
      <w:snapToGrid w:val="0"/>
      <w:jc w:val="left"/>
    </w:pPr>
    <w:rPr>
      <w:sz w:val="18"/>
      <w:szCs w:val="18"/>
    </w:rPr>
  </w:style>
  <w:style w:type="paragraph" w:styleId="15">
    <w:name w:val="header"/>
    <w:basedOn w:val="1"/>
    <w:link w:val="39"/>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spacing w:before="120" w:after="120"/>
      <w:jc w:val="left"/>
    </w:pPr>
    <w:rPr>
      <w:rFonts w:ascii="Calibri" w:hAnsi="Calibri"/>
      <w:b/>
      <w:bCs/>
      <w:caps/>
      <w:sz w:val="20"/>
      <w:szCs w:val="20"/>
    </w:rPr>
  </w:style>
  <w:style w:type="paragraph" w:styleId="17">
    <w:name w:val="toc 4"/>
    <w:basedOn w:val="1"/>
    <w:next w:val="1"/>
    <w:unhideWhenUsed/>
    <w:qFormat/>
    <w:uiPriority w:val="39"/>
    <w:pPr>
      <w:ind w:left="630"/>
      <w:jc w:val="left"/>
    </w:pPr>
    <w:rPr>
      <w:rFonts w:ascii="Calibri" w:hAnsi="Calibri"/>
      <w:sz w:val="18"/>
      <w:szCs w:val="18"/>
    </w:rPr>
  </w:style>
  <w:style w:type="paragraph" w:styleId="18">
    <w:name w:val="toc 6"/>
    <w:basedOn w:val="1"/>
    <w:next w:val="1"/>
    <w:unhideWhenUsed/>
    <w:qFormat/>
    <w:uiPriority w:val="39"/>
    <w:pPr>
      <w:ind w:left="1050"/>
      <w:jc w:val="left"/>
    </w:pPr>
    <w:rPr>
      <w:rFonts w:ascii="Calibri" w:hAnsi="Calibri"/>
      <w:sz w:val="18"/>
      <w:szCs w:val="18"/>
    </w:rPr>
  </w:style>
  <w:style w:type="paragraph" w:styleId="19">
    <w:name w:val="toc 2"/>
    <w:basedOn w:val="1"/>
    <w:next w:val="1"/>
    <w:unhideWhenUsed/>
    <w:qFormat/>
    <w:uiPriority w:val="39"/>
    <w:pPr>
      <w:ind w:left="210"/>
      <w:jc w:val="left"/>
    </w:pPr>
    <w:rPr>
      <w:rFonts w:ascii="Calibri" w:hAnsi="Calibri"/>
      <w:smallCaps/>
      <w:sz w:val="20"/>
      <w:szCs w:val="20"/>
    </w:rPr>
  </w:style>
  <w:style w:type="paragraph" w:styleId="20">
    <w:name w:val="toc 9"/>
    <w:basedOn w:val="1"/>
    <w:next w:val="1"/>
    <w:unhideWhenUsed/>
    <w:qFormat/>
    <w:uiPriority w:val="39"/>
    <w:pPr>
      <w:ind w:left="1680"/>
      <w:jc w:val="left"/>
    </w:pPr>
    <w:rPr>
      <w:rFonts w:ascii="Calibri" w:hAnsi="Calibri"/>
      <w:sz w:val="18"/>
      <w:szCs w:val="18"/>
    </w:rPr>
  </w:style>
  <w:style w:type="paragraph" w:styleId="21">
    <w:name w:val="Normal (Web)"/>
    <w:basedOn w:val="1"/>
    <w:qFormat/>
    <w:uiPriority w:val="0"/>
    <w:pPr>
      <w:widowControl/>
      <w:spacing w:before="100" w:beforeAutospacing="1" w:after="100" w:afterAutospacing="1"/>
      <w:jc w:val="left"/>
    </w:pPr>
    <w:rPr>
      <w:rFonts w:ascii="宋体" w:hAnsi="宋体"/>
      <w:kern w:val="0"/>
      <w:sz w:val="15"/>
      <w:szCs w:val="20"/>
    </w:rPr>
  </w:style>
  <w:style w:type="paragraph" w:styleId="22">
    <w:name w:val="annotation subject"/>
    <w:basedOn w:val="8"/>
    <w:next w:val="8"/>
    <w:link w:val="40"/>
    <w:unhideWhenUsed/>
    <w:qFormat/>
    <w:uiPriority w:val="99"/>
    <w:rPr>
      <w:b/>
      <w:bCs/>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qFormat/>
    <w:uiPriority w:val="0"/>
  </w:style>
  <w:style w:type="character" w:styleId="27">
    <w:name w:val="Hyperlink"/>
    <w:basedOn w:val="25"/>
    <w:unhideWhenUsed/>
    <w:qFormat/>
    <w:uiPriority w:val="99"/>
    <w:rPr>
      <w:color w:val="0000FF"/>
      <w:u w:val="single"/>
    </w:rPr>
  </w:style>
  <w:style w:type="character" w:styleId="28">
    <w:name w:val="annotation reference"/>
    <w:qFormat/>
    <w:uiPriority w:val="0"/>
    <w:rPr>
      <w:sz w:val="21"/>
      <w:szCs w:val="21"/>
    </w:rPr>
  </w:style>
  <w:style w:type="character" w:customStyle="1" w:styleId="29">
    <w:name w:val="标题 1 Char"/>
    <w:basedOn w:val="25"/>
    <w:link w:val="3"/>
    <w:qFormat/>
    <w:uiPriority w:val="0"/>
    <w:rPr>
      <w:rFonts w:ascii="Times New Roman" w:hAnsi="Times New Roman"/>
      <w:b/>
      <w:bCs/>
      <w:kern w:val="44"/>
      <w:sz w:val="44"/>
      <w:szCs w:val="44"/>
    </w:rPr>
  </w:style>
  <w:style w:type="paragraph" w:customStyle="1" w:styleId="30">
    <w:name w:val="表格文字"/>
    <w:basedOn w:val="1"/>
    <w:qFormat/>
    <w:uiPriority w:val="0"/>
    <w:pPr>
      <w:spacing w:before="25" w:after="25"/>
      <w:jc w:val="left"/>
    </w:pPr>
    <w:rPr>
      <w:bCs/>
      <w:spacing w:val="10"/>
      <w:kern w:val="0"/>
      <w:sz w:val="24"/>
    </w:rPr>
  </w:style>
  <w:style w:type="character" w:customStyle="1" w:styleId="31">
    <w:name w:val="标题 2 Char"/>
    <w:basedOn w:val="25"/>
    <w:link w:val="4"/>
    <w:qFormat/>
    <w:uiPriority w:val="0"/>
    <w:rPr>
      <w:rFonts w:ascii="黑体" w:hAnsi="宋体" w:eastAsia="黑体" w:cs="Times New Roman"/>
      <w:color w:val="000000"/>
      <w:sz w:val="44"/>
    </w:rPr>
  </w:style>
  <w:style w:type="character" w:customStyle="1" w:styleId="32">
    <w:name w:val="正文缩进 Char"/>
    <w:link w:val="6"/>
    <w:qFormat/>
    <w:uiPriority w:val="0"/>
  </w:style>
  <w:style w:type="character" w:customStyle="1" w:styleId="33">
    <w:name w:val="文档结构图 Char"/>
    <w:basedOn w:val="25"/>
    <w:link w:val="7"/>
    <w:semiHidden/>
    <w:qFormat/>
    <w:uiPriority w:val="99"/>
    <w:rPr>
      <w:rFonts w:ascii="宋体" w:hAnsi="Times New Roman"/>
      <w:kern w:val="2"/>
      <w:sz w:val="18"/>
      <w:szCs w:val="18"/>
    </w:rPr>
  </w:style>
  <w:style w:type="character" w:customStyle="1" w:styleId="34">
    <w:name w:val="批注文字 Char"/>
    <w:basedOn w:val="25"/>
    <w:link w:val="8"/>
    <w:qFormat/>
    <w:uiPriority w:val="99"/>
    <w:rPr>
      <w:rFonts w:ascii="Times New Roman" w:hAnsi="Times New Roman"/>
      <w:kern w:val="2"/>
      <w:sz w:val="21"/>
      <w:szCs w:val="22"/>
    </w:rPr>
  </w:style>
  <w:style w:type="character" w:customStyle="1" w:styleId="35">
    <w:name w:val="正文文本 Char"/>
    <w:link w:val="2"/>
    <w:qFormat/>
    <w:uiPriority w:val="0"/>
    <w:rPr>
      <w:rFonts w:ascii="Times New Roman" w:hAnsi="Times New Roman"/>
    </w:rPr>
  </w:style>
  <w:style w:type="character" w:customStyle="1" w:styleId="36">
    <w:name w:val="纯文本 Char"/>
    <w:link w:val="11"/>
    <w:qFormat/>
    <w:uiPriority w:val="0"/>
    <w:rPr>
      <w:rFonts w:ascii="宋体" w:hAnsi="Courier New"/>
    </w:rPr>
  </w:style>
  <w:style w:type="character" w:customStyle="1" w:styleId="37">
    <w:name w:val="批注框文本 Char"/>
    <w:basedOn w:val="25"/>
    <w:link w:val="13"/>
    <w:semiHidden/>
    <w:qFormat/>
    <w:uiPriority w:val="99"/>
    <w:rPr>
      <w:rFonts w:ascii="Times New Roman" w:hAnsi="Times New Roman"/>
      <w:kern w:val="2"/>
      <w:sz w:val="18"/>
      <w:szCs w:val="18"/>
    </w:rPr>
  </w:style>
  <w:style w:type="character" w:customStyle="1" w:styleId="38">
    <w:name w:val="页脚 Char"/>
    <w:basedOn w:val="25"/>
    <w:link w:val="14"/>
    <w:qFormat/>
    <w:uiPriority w:val="99"/>
    <w:rPr>
      <w:sz w:val="18"/>
      <w:szCs w:val="18"/>
    </w:rPr>
  </w:style>
  <w:style w:type="character" w:customStyle="1" w:styleId="39">
    <w:name w:val="页眉 Char"/>
    <w:basedOn w:val="25"/>
    <w:link w:val="15"/>
    <w:qFormat/>
    <w:uiPriority w:val="0"/>
    <w:rPr>
      <w:sz w:val="18"/>
      <w:szCs w:val="18"/>
    </w:rPr>
  </w:style>
  <w:style w:type="character" w:customStyle="1" w:styleId="40">
    <w:name w:val="批注主题 Char"/>
    <w:basedOn w:val="34"/>
    <w:link w:val="22"/>
    <w:semiHidden/>
    <w:qFormat/>
    <w:uiPriority w:val="99"/>
    <w:rPr>
      <w:b/>
      <w:bCs/>
    </w:rPr>
  </w:style>
  <w:style w:type="paragraph" w:customStyle="1" w:styleId="41">
    <w:name w:val="_Style 3"/>
    <w:basedOn w:val="1"/>
    <w:qFormat/>
    <w:uiPriority w:val="0"/>
    <w:pPr>
      <w:ind w:firstLine="420" w:firstLineChars="200"/>
    </w:pPr>
    <w:rPr>
      <w:sz w:val="20"/>
    </w:rPr>
  </w:style>
  <w:style w:type="character" w:customStyle="1" w:styleId="42">
    <w:name w:val="纯文本 Char1"/>
    <w:basedOn w:val="25"/>
    <w:semiHidden/>
    <w:qFormat/>
    <w:uiPriority w:val="99"/>
    <w:rPr>
      <w:rFonts w:ascii="宋体" w:hAnsi="Courier New" w:eastAsia="宋体" w:cs="Courier New"/>
      <w:szCs w:val="21"/>
    </w:rPr>
  </w:style>
  <w:style w:type="character" w:customStyle="1" w:styleId="43">
    <w:name w:val="正文文本 Char1"/>
    <w:basedOn w:val="25"/>
    <w:semiHidden/>
    <w:qFormat/>
    <w:uiPriority w:val="99"/>
    <w:rPr>
      <w:rFonts w:ascii="Times New Roman" w:hAnsi="Times New Roman" w:eastAsia="宋体" w:cs="Times New Roman"/>
    </w:rPr>
  </w:style>
  <w:style w:type="character" w:customStyle="1" w:styleId="44">
    <w:name w:val="p141"/>
    <w:qFormat/>
    <w:uiPriority w:val="0"/>
    <w:rPr>
      <w:sz w:val="21"/>
      <w:szCs w:val="21"/>
    </w:rPr>
  </w:style>
  <w:style w:type="paragraph" w:styleId="45">
    <w:name w:val="List Paragraph"/>
    <w:basedOn w:val="1"/>
    <w:qFormat/>
    <w:uiPriority w:val="34"/>
    <w:pPr>
      <w:ind w:firstLine="420" w:firstLineChars="200"/>
    </w:pPr>
  </w:style>
  <w:style w:type="paragraph" w:customStyle="1" w:styleId="4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7">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8">
    <w:name w:val="font01"/>
    <w:basedOn w:val="25"/>
    <w:qFormat/>
    <w:uiPriority w:val="0"/>
    <w:rPr>
      <w:rFonts w:hint="eastAsia" w:ascii="宋体" w:hAnsi="宋体" w:eastAsia="宋体" w:cs="宋体"/>
      <w:color w:val="000000"/>
      <w:sz w:val="22"/>
      <w:szCs w:val="22"/>
      <w:u w:val="none"/>
    </w:rPr>
  </w:style>
  <w:style w:type="character" w:customStyle="1" w:styleId="49">
    <w:name w:val="font31"/>
    <w:basedOn w:val="25"/>
    <w:qFormat/>
    <w:uiPriority w:val="0"/>
    <w:rPr>
      <w:rFonts w:ascii="仿宋_GB2312" w:eastAsia="仿宋_GB2312" w:cs="仿宋_GB2312"/>
      <w:color w:val="000000"/>
      <w:sz w:val="22"/>
      <w:szCs w:val="22"/>
      <w:u w:val="none"/>
    </w:rPr>
  </w:style>
  <w:style w:type="character" w:customStyle="1" w:styleId="50">
    <w:name w:val="font11"/>
    <w:basedOn w:val="25"/>
    <w:qFormat/>
    <w:uiPriority w:val="0"/>
    <w:rPr>
      <w:rFonts w:ascii="宋体" w:hAnsi="宋体" w:eastAsia="宋体" w:cs="宋体"/>
      <w:color w:val="000000"/>
      <w:sz w:val="14"/>
      <w:szCs w:val="14"/>
      <w:u w:val="none"/>
    </w:rPr>
  </w:style>
  <w:style w:type="character" w:customStyle="1" w:styleId="51">
    <w:name w:val="font21"/>
    <w:basedOn w:val="25"/>
    <w:qFormat/>
    <w:uiPriority w:val="0"/>
    <w:rPr>
      <w:rFonts w:ascii="宋体" w:hAnsi="宋体" w:eastAsia="宋体" w:cs="宋体"/>
      <w:color w:val="000000"/>
      <w:sz w:val="14"/>
      <w:szCs w:val="14"/>
      <w:u w:val="none"/>
    </w:rPr>
  </w:style>
  <w:style w:type="paragraph" w:customStyle="1" w:styleId="52">
    <w:name w:val="列出段落1"/>
    <w:basedOn w:val="1"/>
    <w:qFormat/>
    <w:uiPriority w:val="34"/>
    <w:pPr>
      <w:ind w:firstLine="420" w:firstLineChars="200"/>
    </w:pPr>
    <w:rPr>
      <w:szCs w:val="21"/>
    </w:rPr>
  </w:style>
  <w:style w:type="character" w:customStyle="1" w:styleId="53">
    <w:name w:val="NormalCharacter"/>
    <w:semiHidden/>
    <w:qFormat/>
    <w:uiPriority w:val="0"/>
    <w:rPr>
      <w:sz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22</Pages>
  <Words>6966</Words>
  <Characters>7605</Characters>
  <Lines>60</Lines>
  <Paragraphs>17</Paragraphs>
  <TotalTime>57</TotalTime>
  <ScaleCrop>false</ScaleCrop>
  <LinksUpToDate>false</LinksUpToDate>
  <CharactersWithSpaces>7814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2023-02-16T01:26:00Z</dcterms:created>
  <dc:creator>用户1</dc:creator>
  <cp:lastModifiedBy> 大白</cp:lastModifiedBy>
  <dcterms:modified xsi:type="dcterms:W3CDTF">2023-03-21T08:28:09Z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BEC72D7F04B64DBFBA6E6749ED5CDFD8</vt:lpwstr>
  </property>
</Properties>
</file>