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ind w:right="84" w:rightChars="40"/>
        <w:jc w:val="center"/>
        <w:rPr>
          <w:rFonts w:ascii="宋体" w:hAnsi="宋体"/>
          <w:b/>
          <w:sz w:val="48"/>
          <w:szCs w:val="48"/>
        </w:rPr>
      </w:pPr>
      <w:r>
        <w:rPr>
          <w:rFonts w:hint="eastAsia" w:ascii="宋体" w:hAnsi="宋体"/>
          <w:b/>
          <w:bCs/>
          <w:sz w:val="52"/>
          <w:szCs w:val="52"/>
        </w:rPr>
        <w:t>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w:t>
      </w:r>
    </w:p>
    <w:p>
      <w:pPr>
        <w:spacing w:line="240" w:lineRule="exact"/>
        <w:ind w:right="-248" w:rightChars="-118"/>
        <w:jc w:val="center"/>
        <w:rPr>
          <w:rFonts w:ascii="宋体" w:hAnsi="宋体"/>
          <w:b/>
          <w:sz w:val="44"/>
        </w:rPr>
      </w:pPr>
      <w:r>
        <w:rPr>
          <w:rFonts w:ascii="宋体" w:hAnsi="宋体"/>
          <w:b/>
          <w:sz w:val="4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41275</wp:posOffset>
                </wp:positionV>
                <wp:extent cx="5400675" cy="2540"/>
                <wp:effectExtent l="0" t="34925" r="9525" b="38735"/>
                <wp:wrapNone/>
                <wp:docPr id="1" name="Line 2"/>
                <wp:cNvGraphicFramePr/>
                <a:graphic xmlns:a="http://schemas.openxmlformats.org/drawingml/2006/main">
                  <a:graphicData uri="http://schemas.microsoft.com/office/word/2010/wordprocessingShape">
                    <wps:wsp>
                      <wps:cNvCnPr/>
                      <wps:spPr>
                        <a:xfrm>
                          <a:off x="0" y="0"/>
                          <a:ext cx="5400675" cy="2540"/>
                        </a:xfrm>
                        <a:prstGeom prst="line">
                          <a:avLst/>
                        </a:prstGeom>
                        <a:ln w="69850" cap="flat" cmpd="thinThick">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85pt;margin-top:3.25pt;height:0.2pt;width:425.25pt;z-index:251659264;mso-width-relative:page;mso-height-relative:page;" filled="f" stroked="t" coordsize="21600,21600" o:gfxdata="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1Hye0wAAAAUBAAAPAAAAAAAAAAEA&#10;IAAAACIAAABkcnMvZG93bnJldi54bWxQSwECFAAUAAAACACHTuJAU1bRPtsBAADXAwAADgAAAAAA&#10;AAABACAAAAAiAQAAZHJzL2Uyb0RvYy54bWxQSwUGAAAAAAYABgBZAQAAbwUAAAAA&#10;">
                <v:fill on="f" focussize="0,0"/>
                <v:stroke weight="5.5pt" color="#FF0000" linestyle="thinThick" joinstyle="round"/>
                <v:imagedata o:title=""/>
                <o:lock v:ext="edit" aspectratio="f"/>
              </v:line>
            </w:pict>
          </mc:Fallback>
        </mc:AlternateContent>
      </w:r>
    </w:p>
    <w:p>
      <w:pPr>
        <w:spacing w:line="240" w:lineRule="exact"/>
        <w:ind w:right="-248" w:rightChars="-118"/>
        <w:rPr>
          <w:rFonts w:ascii="宋体" w:hAnsi="宋体"/>
          <w:b/>
          <w:sz w:val="44"/>
        </w:rPr>
      </w:pPr>
    </w:p>
    <w:p>
      <w:pPr>
        <w:spacing w:line="320" w:lineRule="exact"/>
        <w:ind w:right="-248" w:rightChars="-118"/>
        <w:jc w:val="center"/>
        <w:rPr>
          <w:rFonts w:ascii="宋体" w:hAnsi="宋体"/>
          <w:b/>
          <w:sz w:val="44"/>
        </w:rPr>
      </w:pPr>
      <w:r>
        <w:rPr>
          <w:rFonts w:hint="eastAsia" w:ascii="宋体" w:hAnsi="宋体"/>
          <w:b/>
          <w:sz w:val="28"/>
          <w:szCs w:val="28"/>
        </w:rPr>
        <w:t>项目编号：GDCFCG-GDGZ-20230079</w:t>
      </w:r>
    </w:p>
    <w:p>
      <w:pPr>
        <w:ind w:right="-248" w:rightChars="-118"/>
        <w:jc w:val="center"/>
        <w:rPr>
          <w:rFonts w:ascii="宋体" w:hAnsi="宋体"/>
          <w:b/>
          <w:sz w:val="80"/>
          <w:szCs w:val="80"/>
        </w:rPr>
      </w:pPr>
      <w:r>
        <w:rPr>
          <w:rFonts w:hint="eastAsia" w:ascii="宋体" w:hAnsi="宋体"/>
          <w:b/>
          <w:sz w:val="80"/>
          <w:szCs w:val="80"/>
        </w:rPr>
        <w:t>竞价文件</w:t>
      </w:r>
    </w:p>
    <w:p>
      <w:pPr>
        <w:spacing w:line="240" w:lineRule="exact"/>
        <w:ind w:right="-248" w:rightChars="-118"/>
        <w:jc w:val="center"/>
        <w:rPr>
          <w:rFonts w:ascii="宋体" w:hAnsi="宋体"/>
          <w:b/>
          <w:sz w:val="44"/>
        </w:rPr>
      </w:pPr>
    </w:p>
    <w:p>
      <w:pPr>
        <w:spacing w:line="240" w:lineRule="exact"/>
        <w:ind w:right="-248" w:rightChars="-118"/>
        <w:jc w:val="center"/>
        <w:rPr>
          <w:rFonts w:ascii="宋体" w:hAnsi="宋体"/>
          <w:b/>
          <w:sz w:val="44"/>
        </w:rPr>
      </w:pPr>
    </w:p>
    <w:p>
      <w:pPr>
        <w:spacing w:line="240" w:lineRule="exact"/>
        <w:ind w:right="-248" w:rightChars="-118"/>
        <w:jc w:val="center"/>
        <w:rPr>
          <w:rFonts w:ascii="宋体" w:hAnsi="宋体"/>
          <w:b/>
          <w:sz w:val="44"/>
        </w:rPr>
      </w:pPr>
    </w:p>
    <w:p>
      <w:pPr>
        <w:spacing w:line="240" w:lineRule="exact"/>
        <w:ind w:right="-248" w:rightChars="-118"/>
        <w:jc w:val="center"/>
        <w:rPr>
          <w:rFonts w:ascii="宋体" w:hAnsi="宋体"/>
          <w:b/>
          <w:sz w:val="44"/>
        </w:rPr>
      </w:pPr>
    </w:p>
    <w:p>
      <w:pPr>
        <w:spacing w:line="240" w:lineRule="exact"/>
        <w:ind w:right="-248" w:rightChars="-118"/>
        <w:jc w:val="center"/>
        <w:rPr>
          <w:rFonts w:ascii="宋体" w:hAnsi="宋体"/>
          <w:b/>
          <w:sz w:val="44"/>
        </w:rPr>
      </w:pP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sz w:val="32"/>
          <w:szCs w:val="32"/>
        </w:rPr>
      </w:pPr>
      <w:r>
        <w:rPr>
          <w:rFonts w:hint="eastAsia" w:ascii="宋体" w:hAnsi="宋体"/>
          <w:b/>
          <w:sz w:val="32"/>
          <w:szCs w:val="32"/>
        </w:rPr>
        <w:t>招标人： 广州市花都区农业技术管理中心（广州市花都区农产品质量安全监督检测中心）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sz w:val="32"/>
          <w:szCs w:val="32"/>
        </w:rPr>
      </w:pPr>
      <w:r>
        <w:rPr>
          <w:rFonts w:hint="eastAsia" w:ascii="宋体" w:hAnsi="宋体"/>
          <w:b/>
          <w:sz w:val="32"/>
          <w:szCs w:val="32"/>
        </w:rPr>
        <w:t>招标代理机构：广东秤风采购招标有限公司</w:t>
      </w:r>
    </w:p>
    <w:p>
      <w:pPr>
        <w:tabs>
          <w:tab w:val="left" w:pos="1620"/>
          <w:tab w:val="left" w:pos="1800"/>
        </w:tabs>
        <w:adjustRightInd w:val="0"/>
        <w:snapToGrid w:val="0"/>
        <w:spacing w:line="480" w:lineRule="auto"/>
        <w:ind w:left="3041" w:leftChars="1448" w:firstLine="218" w:firstLineChars="68"/>
        <w:textAlignment w:val="baseline"/>
        <w:rPr>
          <w:rFonts w:ascii="宋体" w:hAnsi="宋体"/>
          <w:b/>
          <w:sz w:val="32"/>
          <w:szCs w:val="32"/>
        </w:rPr>
      </w:pPr>
      <w:r>
        <w:rPr>
          <w:rFonts w:hint="eastAsia" w:ascii="宋体" w:hAnsi="宋体"/>
          <w:b/>
          <w:sz w:val="32"/>
          <w:szCs w:val="32"/>
        </w:rPr>
        <w:t>二〇二三年五月</w:t>
      </w:r>
    </w:p>
    <w:p>
      <w:pPr>
        <w:pStyle w:val="41"/>
        <w:ind w:firstLine="400"/>
      </w:pPr>
    </w:p>
    <w:p>
      <w:pPr>
        <w:widowControl/>
        <w:jc w:val="center"/>
        <w:rPr>
          <w:rFonts w:ascii="宋体" w:hAnsi="宋体"/>
          <w:b/>
          <w:sz w:val="44"/>
          <w:szCs w:val="44"/>
        </w:rPr>
      </w:pPr>
      <w:r>
        <w:rPr>
          <w:rFonts w:ascii="宋体" w:hAnsi="宋体"/>
          <w:b/>
          <w:sz w:val="44"/>
          <w:szCs w:val="44"/>
        </w:rPr>
        <w:t>目录</w:t>
      </w:r>
    </w:p>
    <w:p>
      <w:pPr>
        <w:widowControl/>
        <w:jc w:val="center"/>
        <w:rPr>
          <w:rFonts w:ascii="宋体" w:hAnsi="宋体"/>
          <w:b/>
          <w:szCs w:val="21"/>
        </w:rPr>
      </w:pPr>
    </w:p>
    <w:p>
      <w:pPr>
        <w:pStyle w:val="16"/>
        <w:tabs>
          <w:tab w:val="right" w:leader="dot" w:pos="8832"/>
        </w:tabs>
      </w:pPr>
      <w:r>
        <w:rPr>
          <w:rFonts w:ascii="宋体" w:hAnsi="宋体"/>
          <w:b w:val="0"/>
          <w:sz w:val="24"/>
          <w:szCs w:val="28"/>
        </w:rPr>
        <w:fldChar w:fldCharType="begin"/>
      </w:r>
      <w:r>
        <w:rPr>
          <w:rFonts w:ascii="宋体" w:hAnsi="宋体"/>
          <w:b w:val="0"/>
          <w:sz w:val="24"/>
          <w:szCs w:val="28"/>
        </w:rPr>
        <w:instrText xml:space="preserve"> </w:instrText>
      </w:r>
      <w:r>
        <w:rPr>
          <w:rFonts w:hint="eastAsia" w:ascii="宋体" w:hAnsi="宋体"/>
          <w:b w:val="0"/>
          <w:sz w:val="24"/>
          <w:szCs w:val="28"/>
        </w:rPr>
        <w:instrText xml:space="preserve">TOC \o "1-2" \h \z \u</w:instrText>
      </w:r>
      <w:r>
        <w:rPr>
          <w:rFonts w:ascii="宋体" w:hAnsi="宋体"/>
          <w:b w:val="0"/>
          <w:sz w:val="24"/>
          <w:szCs w:val="28"/>
        </w:rPr>
        <w:instrText xml:space="preserve"> </w:instrText>
      </w:r>
      <w:r>
        <w:rPr>
          <w:rFonts w:ascii="宋体" w:hAnsi="宋体"/>
          <w:b w:val="0"/>
          <w:sz w:val="24"/>
          <w:szCs w:val="28"/>
        </w:rPr>
        <w:fldChar w:fldCharType="separate"/>
      </w:r>
      <w:r>
        <w:fldChar w:fldCharType="begin"/>
      </w:r>
      <w:r>
        <w:instrText xml:space="preserve"> HYPERLINK \l "_Toc5357" </w:instrText>
      </w:r>
      <w:r>
        <w:fldChar w:fldCharType="separate"/>
      </w:r>
      <w:r>
        <w:rPr>
          <w:rFonts w:hint="eastAsia"/>
          <w:szCs w:val="50"/>
        </w:rPr>
        <w:t>第一章 报价邀请</w:t>
      </w:r>
      <w:r>
        <w:tab/>
      </w:r>
      <w:r>
        <w:fldChar w:fldCharType="begin"/>
      </w:r>
      <w:r>
        <w:instrText xml:space="preserve"> PAGEREF _Toc5357 \h </w:instrText>
      </w:r>
      <w:r>
        <w:fldChar w:fldCharType="separate"/>
      </w:r>
      <w:r>
        <w:t>2</w:t>
      </w:r>
      <w:r>
        <w:fldChar w:fldCharType="end"/>
      </w:r>
      <w:r>
        <w:fldChar w:fldCharType="end"/>
      </w:r>
    </w:p>
    <w:p>
      <w:pPr>
        <w:pStyle w:val="16"/>
        <w:tabs>
          <w:tab w:val="right" w:leader="dot" w:pos="8832"/>
        </w:tabs>
      </w:pPr>
      <w:r>
        <w:fldChar w:fldCharType="begin"/>
      </w:r>
      <w:r>
        <w:instrText xml:space="preserve"> HYPERLINK \l "_Toc19037" </w:instrText>
      </w:r>
      <w:r>
        <w:fldChar w:fldCharType="separate"/>
      </w:r>
      <w:r>
        <w:rPr>
          <w:rFonts w:hint="eastAsia"/>
          <w:szCs w:val="50"/>
        </w:rPr>
        <w:t>第二章 用户需求书</w:t>
      </w:r>
      <w:r>
        <w:tab/>
      </w:r>
      <w:r>
        <w:fldChar w:fldCharType="begin"/>
      </w:r>
      <w:r>
        <w:instrText xml:space="preserve"> PAGEREF _Toc19037 \h </w:instrText>
      </w:r>
      <w:r>
        <w:fldChar w:fldCharType="separate"/>
      </w:r>
      <w:r>
        <w:t>7</w:t>
      </w:r>
      <w:r>
        <w:fldChar w:fldCharType="end"/>
      </w:r>
      <w:r>
        <w:fldChar w:fldCharType="end"/>
      </w:r>
    </w:p>
    <w:p>
      <w:pPr>
        <w:pStyle w:val="16"/>
        <w:tabs>
          <w:tab w:val="right" w:leader="dot" w:pos="8832"/>
        </w:tabs>
      </w:pPr>
      <w:r>
        <w:fldChar w:fldCharType="begin"/>
      </w:r>
      <w:r>
        <w:instrText xml:space="preserve"> HYPERLINK \l "_Toc16007" </w:instrText>
      </w:r>
      <w:r>
        <w:fldChar w:fldCharType="separate"/>
      </w:r>
      <w:r>
        <w:rPr>
          <w:rFonts w:hint="eastAsia"/>
          <w:szCs w:val="50"/>
        </w:rPr>
        <w:t>第三章 报价文件格式</w:t>
      </w:r>
      <w:r>
        <w:tab/>
      </w:r>
      <w:r>
        <w:fldChar w:fldCharType="begin"/>
      </w:r>
      <w:r>
        <w:instrText xml:space="preserve"> PAGEREF _Toc16007 \h </w:instrText>
      </w:r>
      <w:r>
        <w:fldChar w:fldCharType="separate"/>
      </w:r>
      <w:r>
        <w:t>15</w:t>
      </w:r>
      <w:r>
        <w:fldChar w:fldCharType="end"/>
      </w:r>
      <w:r>
        <w:fldChar w:fldCharType="end"/>
      </w:r>
    </w:p>
    <w:p>
      <w:pPr>
        <w:widowControl/>
        <w:adjustRightInd w:val="0"/>
        <w:snapToGrid w:val="0"/>
        <w:spacing w:line="480" w:lineRule="auto"/>
        <w:jc w:val="center"/>
        <w:rPr>
          <w:rFonts w:ascii="宋体" w:hAnsi="宋体"/>
          <w:b/>
          <w:szCs w:val="21"/>
        </w:rPr>
      </w:pPr>
      <w:r>
        <w:rPr>
          <w:rFonts w:ascii="宋体" w:hAnsi="宋体"/>
          <w:szCs w:val="28"/>
        </w:rPr>
        <w:fldChar w:fldCharType="end"/>
      </w:r>
    </w:p>
    <w:p>
      <w:pPr>
        <w:widowControl/>
        <w:jc w:val="center"/>
        <w:rPr>
          <w:rFonts w:ascii="宋体" w:hAnsi="宋体"/>
          <w:b/>
          <w:sz w:val="44"/>
          <w:szCs w:val="44"/>
        </w:rPr>
      </w:pPr>
      <w:r>
        <w:rPr>
          <w:rFonts w:ascii="宋体" w:hAnsi="宋体"/>
          <w:b/>
          <w:sz w:val="44"/>
          <w:szCs w:val="44"/>
        </w:rPr>
        <w:br w:type="page"/>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numPr>
          <w:ilvl w:val="0"/>
          <w:numId w:val="2"/>
        </w:numPr>
        <w:tabs>
          <w:tab w:val="left" w:pos="1843"/>
        </w:tabs>
        <w:jc w:val="center"/>
        <w:outlineLvl w:val="0"/>
        <w:rPr>
          <w:b/>
          <w:sz w:val="50"/>
          <w:szCs w:val="50"/>
        </w:rPr>
      </w:pPr>
      <w:bookmarkStart w:id="0" w:name="_Toc457466589"/>
      <w:bookmarkStart w:id="1" w:name="_Toc5357"/>
      <w:bookmarkStart w:id="2" w:name="_Toc423350471"/>
      <w:r>
        <w:rPr>
          <w:rFonts w:hint="eastAsia"/>
          <w:b/>
          <w:sz w:val="50"/>
          <w:szCs w:val="50"/>
        </w:rPr>
        <w:t>报价邀请</w:t>
      </w:r>
      <w:bookmarkEnd w:id="0"/>
      <w:bookmarkEnd w:id="1"/>
      <w:bookmarkEnd w:id="2"/>
    </w:p>
    <w:p>
      <w:pPr>
        <w:widowControl/>
        <w:jc w:val="center"/>
        <w:rPr>
          <w:b/>
          <w:bCs/>
          <w:sz w:val="28"/>
          <w:szCs w:val="28"/>
        </w:rPr>
      </w:pPr>
      <w:r>
        <w:rPr>
          <w:b/>
          <w:sz w:val="50"/>
          <w:szCs w:val="50"/>
        </w:rPr>
        <w:br w:type="page"/>
      </w:r>
      <w:r>
        <w:rPr>
          <w:rFonts w:hint="eastAsia"/>
          <w:b/>
          <w:bCs/>
          <w:sz w:val="28"/>
          <w:szCs w:val="28"/>
        </w:rPr>
        <w:t>竞价公告</w:t>
      </w:r>
    </w:p>
    <w:p>
      <w:pPr>
        <w:tabs>
          <w:tab w:val="left" w:pos="9214"/>
        </w:tabs>
        <w:snapToGrid w:val="0"/>
        <w:spacing w:line="360" w:lineRule="auto"/>
        <w:ind w:right="422" w:rightChars="201" w:firstLine="420" w:firstLineChars="200"/>
        <w:rPr>
          <w:rFonts w:ascii="宋体" w:hAnsi="宋体" w:cs="宋体"/>
          <w:bCs/>
          <w:szCs w:val="20"/>
        </w:rPr>
      </w:pPr>
      <w:r>
        <w:rPr>
          <w:rFonts w:hint="eastAsia" w:ascii="宋体"/>
          <w:bCs/>
          <w:szCs w:val="20"/>
        </w:rPr>
        <w:t>广东秤风采购招标有限公司受</w:t>
      </w:r>
      <w:r>
        <w:rPr>
          <w:rFonts w:hint="eastAsia" w:ascii="宋体" w:hAnsi="宋体"/>
          <w:szCs w:val="21"/>
        </w:rPr>
        <w:t>广州市花都区农业技术管理中心（广州市花都区农产品质量安全监督检测中心）</w:t>
      </w:r>
      <w:r>
        <w:rPr>
          <w:rFonts w:hint="eastAsia" w:ascii="宋体"/>
          <w:bCs/>
          <w:szCs w:val="21"/>
        </w:rPr>
        <w:t>的委托，拟</w:t>
      </w:r>
      <w:r>
        <w:rPr>
          <w:rFonts w:hint="eastAsia" w:ascii="宋体" w:hAnsi="宋体"/>
          <w:bCs/>
          <w:szCs w:val="21"/>
        </w:rPr>
        <w:t>对</w:t>
      </w:r>
      <w:r>
        <w:rPr>
          <w:rFonts w:hint="eastAsia" w:ascii="宋体" w:hAnsi="宋体"/>
          <w:szCs w:val="21"/>
        </w:rPr>
        <w:t>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w:t>
      </w:r>
      <w:r>
        <w:rPr>
          <w:rFonts w:hint="eastAsia" w:ascii="宋体" w:hAnsi="宋体"/>
          <w:bCs/>
          <w:szCs w:val="21"/>
        </w:rPr>
        <w:t>进行公开竞价采购</w:t>
      </w:r>
      <w:r>
        <w:rPr>
          <w:rFonts w:hint="eastAsia" w:ascii="宋体"/>
          <w:bCs/>
          <w:szCs w:val="21"/>
        </w:rPr>
        <w:t>，</w:t>
      </w:r>
      <w:r>
        <w:rPr>
          <w:rFonts w:hint="eastAsia" w:ascii="宋体" w:hAnsi="宋体"/>
          <w:bCs/>
          <w:szCs w:val="21"/>
        </w:rPr>
        <w:t>欢迎符合资格条件的供应商参加。</w:t>
      </w:r>
    </w:p>
    <w:p>
      <w:pPr>
        <w:numPr>
          <w:ilvl w:val="0"/>
          <w:numId w:val="3"/>
        </w:numPr>
        <w:tabs>
          <w:tab w:val="left" w:pos="426"/>
        </w:tabs>
        <w:snapToGrid w:val="0"/>
        <w:spacing w:line="360" w:lineRule="auto"/>
        <w:rPr>
          <w:rFonts w:ascii="宋体"/>
          <w:b/>
          <w:szCs w:val="20"/>
        </w:rPr>
      </w:pPr>
      <w:r>
        <w:rPr>
          <w:rFonts w:hint="eastAsia" w:ascii="宋体"/>
          <w:b/>
          <w:szCs w:val="20"/>
        </w:rPr>
        <w:t>项目编号</w:t>
      </w:r>
    </w:p>
    <w:p>
      <w:pPr>
        <w:tabs>
          <w:tab w:val="left" w:pos="426"/>
        </w:tabs>
        <w:snapToGrid w:val="0"/>
        <w:spacing w:line="360" w:lineRule="auto"/>
        <w:ind w:firstLine="420" w:firstLineChars="200"/>
        <w:rPr>
          <w:rFonts w:ascii="宋体"/>
          <w:bCs/>
          <w:szCs w:val="20"/>
        </w:rPr>
      </w:pPr>
      <w:r>
        <w:rPr>
          <w:rFonts w:hint="eastAsia" w:ascii="宋体" w:hAnsi="宋体"/>
        </w:rPr>
        <w:t>GDCFCG-GDGZ-20230079</w:t>
      </w:r>
    </w:p>
    <w:p>
      <w:pPr>
        <w:numPr>
          <w:ilvl w:val="0"/>
          <w:numId w:val="3"/>
        </w:numPr>
        <w:tabs>
          <w:tab w:val="left" w:pos="426"/>
        </w:tabs>
        <w:snapToGrid w:val="0"/>
        <w:spacing w:line="360" w:lineRule="auto"/>
        <w:rPr>
          <w:rFonts w:ascii="宋体" w:hAnsi="宋体"/>
          <w:b/>
        </w:rPr>
      </w:pPr>
      <w:r>
        <w:rPr>
          <w:rFonts w:hint="eastAsia" w:ascii="宋体"/>
          <w:b/>
          <w:szCs w:val="20"/>
        </w:rPr>
        <w:t>项目名称</w:t>
      </w:r>
    </w:p>
    <w:p>
      <w:pPr>
        <w:tabs>
          <w:tab w:val="left" w:pos="426"/>
        </w:tabs>
        <w:snapToGrid w:val="0"/>
        <w:spacing w:line="360" w:lineRule="auto"/>
        <w:ind w:firstLine="420" w:firstLineChars="200"/>
        <w:rPr>
          <w:rFonts w:ascii="宋体" w:hAnsi="宋体"/>
        </w:rPr>
      </w:pPr>
      <w:r>
        <w:rPr>
          <w:rFonts w:hint="eastAsia" w:ascii="宋体" w:hAnsi="宋体"/>
        </w:rPr>
        <w:t>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w:t>
      </w:r>
    </w:p>
    <w:p>
      <w:pPr>
        <w:numPr>
          <w:ilvl w:val="0"/>
          <w:numId w:val="3"/>
        </w:numPr>
        <w:tabs>
          <w:tab w:val="left" w:pos="426"/>
        </w:tabs>
        <w:snapToGrid w:val="0"/>
        <w:spacing w:line="360" w:lineRule="auto"/>
        <w:rPr>
          <w:rFonts w:ascii="宋体"/>
          <w:b/>
          <w:color w:val="auto"/>
          <w:szCs w:val="20"/>
          <w:highlight w:val="none"/>
        </w:rPr>
      </w:pPr>
      <w:r>
        <w:rPr>
          <w:rFonts w:hint="eastAsia" w:ascii="宋体"/>
          <w:b/>
          <w:szCs w:val="20"/>
        </w:rPr>
        <w:t>项目内</w:t>
      </w:r>
      <w:r>
        <w:rPr>
          <w:rFonts w:hint="eastAsia" w:ascii="宋体"/>
          <w:b/>
          <w:color w:val="auto"/>
          <w:szCs w:val="20"/>
          <w:highlight w:val="none"/>
        </w:rPr>
        <w:t>容及需求</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73" w:hRule="atLeast"/>
          <w:jc w:val="center"/>
        </w:trPr>
        <w:tc>
          <w:tcPr>
            <w:tcW w:w="933" w:type="dxa"/>
            <w:shd w:val="clear" w:color="auto" w:fill="EEECE1"/>
            <w:noWrap/>
            <w:vAlign w:val="center"/>
          </w:tcPr>
          <w:p>
            <w:pPr>
              <w:jc w:val="center"/>
              <w:rPr>
                <w:rFonts w:ascii="宋体"/>
                <w:b/>
                <w:color w:val="auto"/>
                <w:szCs w:val="21"/>
                <w:highlight w:val="none"/>
              </w:rPr>
            </w:pPr>
            <w:r>
              <w:rPr>
                <w:rFonts w:hint="eastAsia" w:ascii="宋体"/>
                <w:b/>
                <w:color w:val="auto"/>
                <w:szCs w:val="21"/>
                <w:highlight w:val="none"/>
              </w:rPr>
              <w:t>包组号</w:t>
            </w:r>
          </w:p>
        </w:tc>
        <w:tc>
          <w:tcPr>
            <w:tcW w:w="2845" w:type="dxa"/>
            <w:shd w:val="clear" w:color="auto" w:fill="EEECE1"/>
            <w:noWrap/>
            <w:vAlign w:val="center"/>
          </w:tcPr>
          <w:p>
            <w:pPr>
              <w:jc w:val="center"/>
              <w:rPr>
                <w:rFonts w:ascii="宋体"/>
                <w:b/>
                <w:color w:val="auto"/>
                <w:szCs w:val="21"/>
                <w:highlight w:val="none"/>
              </w:rPr>
            </w:pPr>
            <w:r>
              <w:rPr>
                <w:rFonts w:hint="eastAsia" w:ascii="宋体"/>
                <w:b/>
                <w:color w:val="auto"/>
                <w:szCs w:val="21"/>
                <w:highlight w:val="none"/>
              </w:rPr>
              <w:t>采购内容</w:t>
            </w:r>
          </w:p>
        </w:tc>
        <w:tc>
          <w:tcPr>
            <w:tcW w:w="737" w:type="dxa"/>
            <w:shd w:val="clear" w:color="auto" w:fill="EEECE1"/>
            <w:noWrap/>
            <w:vAlign w:val="center"/>
          </w:tcPr>
          <w:p>
            <w:pPr>
              <w:jc w:val="center"/>
              <w:rPr>
                <w:rFonts w:ascii="宋体"/>
                <w:b/>
                <w:color w:val="auto"/>
                <w:szCs w:val="21"/>
                <w:highlight w:val="none"/>
              </w:rPr>
            </w:pPr>
            <w:r>
              <w:rPr>
                <w:rFonts w:hint="eastAsia" w:ascii="宋体"/>
                <w:b/>
                <w:color w:val="auto"/>
                <w:szCs w:val="21"/>
                <w:highlight w:val="none"/>
              </w:rPr>
              <w:t>数量</w:t>
            </w:r>
          </w:p>
        </w:tc>
        <w:tc>
          <w:tcPr>
            <w:tcW w:w="2536" w:type="dxa"/>
            <w:shd w:val="clear" w:color="auto" w:fill="EEECE1"/>
            <w:noWrap/>
            <w:vAlign w:val="center"/>
          </w:tcPr>
          <w:p>
            <w:pPr>
              <w:jc w:val="center"/>
              <w:rPr>
                <w:rFonts w:ascii="宋体"/>
                <w:b/>
                <w:color w:val="auto"/>
                <w:szCs w:val="21"/>
                <w:highlight w:val="none"/>
              </w:rPr>
            </w:pPr>
            <w:r>
              <w:rPr>
                <w:rFonts w:hint="eastAsia" w:ascii="宋体"/>
                <w:b/>
                <w:color w:val="auto"/>
                <w:szCs w:val="21"/>
                <w:highlight w:val="none"/>
              </w:rPr>
              <w:t>服务期限</w:t>
            </w:r>
          </w:p>
        </w:tc>
        <w:tc>
          <w:tcPr>
            <w:tcW w:w="1740" w:type="dxa"/>
            <w:shd w:val="clear" w:color="auto" w:fill="EEECE1"/>
            <w:noWrap/>
            <w:vAlign w:val="center"/>
          </w:tcPr>
          <w:p>
            <w:pPr>
              <w:jc w:val="center"/>
              <w:rPr>
                <w:rFonts w:ascii="宋体"/>
                <w:b/>
                <w:color w:val="auto"/>
                <w:szCs w:val="21"/>
                <w:highlight w:val="none"/>
              </w:rPr>
            </w:pPr>
            <w:r>
              <w:rPr>
                <w:rFonts w:hint="eastAsia" w:ascii="宋体"/>
                <w:b/>
                <w:color w:val="auto"/>
                <w:szCs w:val="21"/>
                <w:highlight w:val="none"/>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933" w:type="dxa"/>
            <w:vMerge w:val="restart"/>
            <w:noWrap/>
            <w:vAlign w:val="center"/>
          </w:tcPr>
          <w:p>
            <w:pPr>
              <w:jc w:val="center"/>
              <w:rPr>
                <w:rFonts w:ascii="宋体"/>
                <w:bCs/>
                <w:color w:val="auto"/>
                <w:szCs w:val="21"/>
                <w:highlight w:val="none"/>
              </w:rPr>
            </w:pPr>
            <w:r>
              <w:rPr>
                <w:rFonts w:hint="eastAsia" w:ascii="宋体"/>
                <w:bCs/>
                <w:color w:val="auto"/>
                <w:szCs w:val="21"/>
                <w:highlight w:val="none"/>
              </w:rPr>
              <w:t>包组一</w:t>
            </w:r>
          </w:p>
        </w:tc>
        <w:tc>
          <w:tcPr>
            <w:tcW w:w="2845" w:type="dxa"/>
            <w:noWrap/>
            <w:vAlign w:val="center"/>
          </w:tcPr>
          <w:p>
            <w:pPr>
              <w:jc w:val="center"/>
              <w:rPr>
                <w:rFonts w:ascii="宋体"/>
                <w:bCs/>
                <w:color w:val="auto"/>
                <w:szCs w:val="21"/>
                <w:highlight w:val="none"/>
              </w:rPr>
            </w:pPr>
            <w:r>
              <w:rPr>
                <w:rFonts w:hint="eastAsia" w:ascii="宋体"/>
                <w:bCs/>
                <w:color w:val="auto"/>
                <w:szCs w:val="21"/>
                <w:highlight w:val="none"/>
              </w:rPr>
              <w:t>危险化学品使用储存场所安全现状评价和安全技术服务</w:t>
            </w:r>
          </w:p>
        </w:tc>
        <w:tc>
          <w:tcPr>
            <w:tcW w:w="737" w:type="dxa"/>
            <w:noWrap/>
            <w:vAlign w:val="center"/>
          </w:tcPr>
          <w:p>
            <w:pPr>
              <w:jc w:val="center"/>
              <w:rPr>
                <w:rFonts w:ascii="宋体" w:hAnsi="宋体"/>
                <w:color w:val="auto"/>
                <w:highlight w:val="none"/>
              </w:rPr>
            </w:pPr>
            <w:r>
              <w:rPr>
                <w:rFonts w:hint="eastAsia" w:ascii="宋体" w:hAnsi="宋体"/>
                <w:color w:val="auto"/>
                <w:highlight w:val="none"/>
              </w:rPr>
              <w:t>1项</w:t>
            </w:r>
          </w:p>
        </w:tc>
        <w:tc>
          <w:tcPr>
            <w:tcW w:w="2536" w:type="dxa"/>
            <w:vMerge w:val="restart"/>
            <w:noWrap/>
            <w:vAlign w:val="center"/>
          </w:tcPr>
          <w:p>
            <w:pPr>
              <w:pStyle w:val="46"/>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rPr>
              <w:t>自合同签订之日起30个工作日内完成</w:t>
            </w:r>
          </w:p>
        </w:tc>
        <w:tc>
          <w:tcPr>
            <w:tcW w:w="1740" w:type="dxa"/>
            <w:vMerge w:val="restart"/>
            <w:noWrap/>
            <w:vAlign w:val="center"/>
          </w:tcPr>
          <w:p>
            <w:pPr>
              <w:jc w:val="center"/>
              <w:rPr>
                <w:rFonts w:ascii="宋体" w:hAnsi="宋体"/>
                <w:color w:val="auto"/>
                <w:highlight w:val="none"/>
              </w:rPr>
            </w:pPr>
            <w:r>
              <w:rPr>
                <w:rFonts w:hint="eastAsia" w:ascii="宋体" w:hAnsi="宋体"/>
                <w:color w:val="auto"/>
                <w:highlight w:val="none"/>
              </w:rPr>
              <w:t>人民币3.38万元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933" w:type="dxa"/>
            <w:vMerge w:val="continue"/>
            <w:noWrap/>
            <w:vAlign w:val="center"/>
          </w:tcPr>
          <w:p>
            <w:pPr>
              <w:jc w:val="center"/>
              <w:rPr>
                <w:rFonts w:ascii="宋体"/>
                <w:bCs/>
                <w:color w:val="auto"/>
                <w:szCs w:val="21"/>
                <w:highlight w:val="none"/>
              </w:rPr>
            </w:pPr>
          </w:p>
        </w:tc>
        <w:tc>
          <w:tcPr>
            <w:tcW w:w="2845" w:type="dxa"/>
            <w:noWrap/>
            <w:vAlign w:val="center"/>
          </w:tcPr>
          <w:p>
            <w:pPr>
              <w:jc w:val="center"/>
              <w:rPr>
                <w:rFonts w:ascii="宋体"/>
                <w:bCs/>
                <w:color w:val="auto"/>
                <w:szCs w:val="21"/>
                <w:highlight w:val="none"/>
              </w:rPr>
            </w:pPr>
            <w:r>
              <w:rPr>
                <w:rFonts w:hint="eastAsia" w:ascii="宋体"/>
                <w:bCs/>
                <w:color w:val="auto"/>
                <w:szCs w:val="21"/>
                <w:highlight w:val="none"/>
              </w:rPr>
              <w:t>职业病危害因素检测</w:t>
            </w:r>
          </w:p>
        </w:tc>
        <w:tc>
          <w:tcPr>
            <w:tcW w:w="737" w:type="dxa"/>
            <w:noWrap/>
            <w:vAlign w:val="center"/>
          </w:tcPr>
          <w:p>
            <w:pPr>
              <w:jc w:val="center"/>
              <w:rPr>
                <w:rFonts w:ascii="宋体" w:hAnsi="宋体"/>
                <w:color w:val="auto"/>
                <w:highlight w:val="none"/>
              </w:rPr>
            </w:pPr>
            <w:r>
              <w:rPr>
                <w:rFonts w:hint="eastAsia" w:ascii="宋体" w:hAnsi="宋体"/>
                <w:color w:val="auto"/>
                <w:highlight w:val="none"/>
              </w:rPr>
              <w:t>1项</w:t>
            </w:r>
          </w:p>
        </w:tc>
        <w:tc>
          <w:tcPr>
            <w:tcW w:w="2536" w:type="dxa"/>
            <w:vMerge w:val="continue"/>
            <w:noWrap/>
            <w:vAlign w:val="center"/>
          </w:tcPr>
          <w:p>
            <w:pPr>
              <w:pStyle w:val="46"/>
              <w:spacing w:line="240" w:lineRule="auto"/>
              <w:rPr>
                <w:rFonts w:ascii="宋体" w:hAnsi="宋体"/>
                <w:snapToGrid/>
                <w:color w:val="auto"/>
                <w:spacing w:val="0"/>
                <w:kern w:val="2"/>
                <w:sz w:val="21"/>
                <w:szCs w:val="21"/>
                <w:highlight w:val="none"/>
              </w:rPr>
            </w:pPr>
          </w:p>
        </w:tc>
        <w:tc>
          <w:tcPr>
            <w:tcW w:w="1740" w:type="dxa"/>
            <w:vMerge w:val="continue"/>
            <w:noWrap/>
            <w:vAlign w:val="center"/>
          </w:tcPr>
          <w:p>
            <w:pPr>
              <w:jc w:val="center"/>
              <w:rPr>
                <w:rFonts w:ascii="宋体" w:hAnsi="宋体"/>
                <w:color w:val="auto"/>
                <w:highlight w:val="none"/>
              </w:rPr>
            </w:pPr>
          </w:p>
        </w:tc>
      </w:tr>
    </w:tbl>
    <w:p>
      <w:pPr>
        <w:snapToGrid w:val="0"/>
        <w:rPr>
          <w:rFonts w:ascii="宋体"/>
          <w:bCs/>
          <w:color w:val="auto"/>
          <w:szCs w:val="20"/>
          <w:highlight w:val="none"/>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45"/>
        <w:gridCol w:w="737"/>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包组号</w:t>
            </w:r>
          </w:p>
        </w:tc>
        <w:tc>
          <w:tcPr>
            <w:tcW w:w="2845"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采购内容</w:t>
            </w:r>
          </w:p>
        </w:tc>
        <w:tc>
          <w:tcPr>
            <w:tcW w:w="737"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数量</w:t>
            </w:r>
          </w:p>
        </w:tc>
        <w:tc>
          <w:tcPr>
            <w:tcW w:w="2536"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服务期限</w:t>
            </w:r>
          </w:p>
        </w:tc>
        <w:tc>
          <w:tcPr>
            <w:tcW w:w="1740"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宋体"/>
                <w:bCs/>
                <w:color w:val="auto"/>
                <w:szCs w:val="21"/>
                <w:highlight w:val="none"/>
              </w:rPr>
            </w:pPr>
            <w:r>
              <w:rPr>
                <w:rFonts w:hint="eastAsia" w:ascii="宋体"/>
                <w:bCs/>
                <w:color w:val="auto"/>
                <w:szCs w:val="21"/>
                <w:highlight w:val="none"/>
              </w:rPr>
              <w:t>包组二</w:t>
            </w:r>
          </w:p>
        </w:tc>
        <w:tc>
          <w:tcPr>
            <w:tcW w:w="2845" w:type="dxa"/>
            <w:vAlign w:val="center"/>
          </w:tcPr>
          <w:p>
            <w:pPr>
              <w:jc w:val="center"/>
              <w:rPr>
                <w:rFonts w:ascii="宋体"/>
                <w:bCs/>
                <w:color w:val="auto"/>
                <w:szCs w:val="21"/>
                <w:highlight w:val="none"/>
              </w:rPr>
            </w:pPr>
            <w:r>
              <w:rPr>
                <w:rFonts w:hint="eastAsia" w:ascii="宋体" w:hAnsi="宋体"/>
                <w:color w:val="auto"/>
                <w:highlight w:val="none"/>
              </w:rPr>
              <w:t>采购实验室有毒有害废物处理商</w:t>
            </w:r>
          </w:p>
        </w:tc>
        <w:tc>
          <w:tcPr>
            <w:tcW w:w="737" w:type="dxa"/>
            <w:vAlign w:val="center"/>
          </w:tcPr>
          <w:p>
            <w:pPr>
              <w:jc w:val="center"/>
              <w:rPr>
                <w:rFonts w:ascii="宋体" w:hAnsi="宋体"/>
                <w:color w:val="auto"/>
                <w:highlight w:val="none"/>
              </w:rPr>
            </w:pPr>
            <w:r>
              <w:rPr>
                <w:rFonts w:hint="eastAsia" w:ascii="宋体" w:hAnsi="宋体"/>
                <w:color w:val="auto"/>
                <w:highlight w:val="none"/>
              </w:rPr>
              <w:t>1项</w:t>
            </w:r>
          </w:p>
        </w:tc>
        <w:tc>
          <w:tcPr>
            <w:tcW w:w="2536" w:type="dxa"/>
            <w:vAlign w:val="center"/>
          </w:tcPr>
          <w:p>
            <w:pPr>
              <w:pStyle w:val="46"/>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rPr>
              <w:t>自合同签订之日起二年</w:t>
            </w:r>
          </w:p>
        </w:tc>
        <w:tc>
          <w:tcPr>
            <w:tcW w:w="1740" w:type="dxa"/>
            <w:vAlign w:val="center"/>
          </w:tcPr>
          <w:p>
            <w:pPr>
              <w:jc w:val="center"/>
              <w:rPr>
                <w:rFonts w:ascii="宋体" w:hAnsi="宋体"/>
                <w:color w:val="auto"/>
                <w:highlight w:val="none"/>
              </w:rPr>
            </w:pPr>
            <w:r>
              <w:rPr>
                <w:rFonts w:hint="eastAsia" w:ascii="宋体" w:hAnsi="宋体"/>
                <w:color w:val="auto"/>
                <w:highlight w:val="none"/>
              </w:rPr>
              <w:t>人民币7万元/两年</w:t>
            </w:r>
          </w:p>
        </w:tc>
      </w:tr>
    </w:tbl>
    <w:p>
      <w:pPr>
        <w:snapToGrid w:val="0"/>
        <w:rPr>
          <w:rFonts w:ascii="宋体"/>
          <w:bCs/>
          <w:color w:val="auto"/>
          <w:szCs w:val="20"/>
          <w:highlight w:val="none"/>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18"/>
        <w:gridCol w:w="764"/>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包组号</w:t>
            </w:r>
          </w:p>
        </w:tc>
        <w:tc>
          <w:tcPr>
            <w:tcW w:w="2818"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采购内容</w:t>
            </w:r>
          </w:p>
        </w:tc>
        <w:tc>
          <w:tcPr>
            <w:tcW w:w="764"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数量</w:t>
            </w:r>
          </w:p>
        </w:tc>
        <w:tc>
          <w:tcPr>
            <w:tcW w:w="2536"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供货期限</w:t>
            </w:r>
          </w:p>
        </w:tc>
        <w:tc>
          <w:tcPr>
            <w:tcW w:w="1740"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宋体"/>
                <w:bCs/>
                <w:color w:val="auto"/>
                <w:szCs w:val="21"/>
                <w:highlight w:val="none"/>
              </w:rPr>
            </w:pPr>
            <w:r>
              <w:rPr>
                <w:rFonts w:hint="eastAsia" w:ascii="宋体"/>
                <w:bCs/>
                <w:color w:val="auto"/>
                <w:szCs w:val="21"/>
                <w:highlight w:val="none"/>
              </w:rPr>
              <w:t>包组三</w:t>
            </w:r>
          </w:p>
        </w:tc>
        <w:tc>
          <w:tcPr>
            <w:tcW w:w="2818" w:type="dxa"/>
            <w:vAlign w:val="center"/>
          </w:tcPr>
          <w:p>
            <w:pPr>
              <w:jc w:val="center"/>
              <w:rPr>
                <w:rFonts w:ascii="宋体"/>
                <w:bCs/>
                <w:color w:val="auto"/>
                <w:szCs w:val="21"/>
                <w:highlight w:val="none"/>
              </w:rPr>
            </w:pPr>
            <w:r>
              <w:rPr>
                <w:rFonts w:hint="eastAsia" w:ascii="宋体" w:hAnsi="宋体"/>
                <w:color w:val="auto"/>
                <w:highlight w:val="none"/>
              </w:rPr>
              <w:t>采购实验室小型仪器</w:t>
            </w:r>
          </w:p>
        </w:tc>
        <w:tc>
          <w:tcPr>
            <w:tcW w:w="764" w:type="dxa"/>
            <w:vAlign w:val="center"/>
          </w:tcPr>
          <w:p>
            <w:pPr>
              <w:jc w:val="center"/>
              <w:rPr>
                <w:rFonts w:ascii="宋体" w:hAnsi="宋体"/>
                <w:color w:val="auto"/>
                <w:highlight w:val="none"/>
              </w:rPr>
            </w:pPr>
            <w:r>
              <w:rPr>
                <w:rFonts w:hint="eastAsia" w:ascii="宋体" w:hAnsi="宋体"/>
                <w:color w:val="auto"/>
                <w:highlight w:val="none"/>
              </w:rPr>
              <w:t>1批</w:t>
            </w:r>
          </w:p>
        </w:tc>
        <w:tc>
          <w:tcPr>
            <w:tcW w:w="2536" w:type="dxa"/>
            <w:vAlign w:val="center"/>
          </w:tcPr>
          <w:p>
            <w:pPr>
              <w:pStyle w:val="46"/>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rPr>
              <w:t>接到招标人通知后10日内日内交货</w:t>
            </w:r>
          </w:p>
        </w:tc>
        <w:tc>
          <w:tcPr>
            <w:tcW w:w="1740" w:type="dxa"/>
            <w:vAlign w:val="center"/>
          </w:tcPr>
          <w:p>
            <w:pPr>
              <w:jc w:val="center"/>
              <w:rPr>
                <w:rFonts w:ascii="宋体" w:hAnsi="宋体"/>
                <w:color w:val="auto"/>
                <w:highlight w:val="none"/>
              </w:rPr>
            </w:pPr>
            <w:r>
              <w:rPr>
                <w:rFonts w:hint="eastAsia" w:ascii="宋体" w:hAnsi="宋体"/>
                <w:color w:val="auto"/>
                <w:highlight w:val="none"/>
              </w:rPr>
              <w:t>人民币9.57万元</w:t>
            </w:r>
          </w:p>
        </w:tc>
      </w:tr>
    </w:tbl>
    <w:p>
      <w:pPr>
        <w:pStyle w:val="30"/>
        <w:rPr>
          <w:color w:val="auto"/>
          <w:highlight w:val="none"/>
        </w:rPr>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818"/>
        <w:gridCol w:w="764"/>
        <w:gridCol w:w="2536"/>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包组号</w:t>
            </w:r>
          </w:p>
        </w:tc>
        <w:tc>
          <w:tcPr>
            <w:tcW w:w="2818"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采购内容</w:t>
            </w:r>
          </w:p>
        </w:tc>
        <w:tc>
          <w:tcPr>
            <w:tcW w:w="764"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数量</w:t>
            </w:r>
          </w:p>
        </w:tc>
        <w:tc>
          <w:tcPr>
            <w:tcW w:w="2536"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供货期限</w:t>
            </w:r>
          </w:p>
        </w:tc>
        <w:tc>
          <w:tcPr>
            <w:tcW w:w="1740" w:type="dxa"/>
            <w:shd w:val="clear" w:color="auto" w:fill="EEECE1"/>
            <w:vAlign w:val="center"/>
          </w:tcPr>
          <w:p>
            <w:pPr>
              <w:jc w:val="center"/>
              <w:rPr>
                <w:rFonts w:ascii="宋体"/>
                <w:b/>
                <w:color w:val="auto"/>
                <w:szCs w:val="21"/>
                <w:highlight w:val="none"/>
              </w:rPr>
            </w:pPr>
            <w:r>
              <w:rPr>
                <w:rFonts w:hint="eastAsia" w:ascii="宋体"/>
                <w:b/>
                <w:color w:val="auto"/>
                <w:szCs w:val="21"/>
                <w:highlight w:val="none"/>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宋体"/>
                <w:bCs/>
                <w:color w:val="auto"/>
                <w:szCs w:val="21"/>
                <w:highlight w:val="none"/>
              </w:rPr>
            </w:pPr>
            <w:r>
              <w:rPr>
                <w:rFonts w:hint="eastAsia" w:ascii="宋体"/>
                <w:bCs/>
                <w:color w:val="auto"/>
                <w:szCs w:val="21"/>
                <w:highlight w:val="none"/>
              </w:rPr>
              <w:t>包组四</w:t>
            </w:r>
          </w:p>
        </w:tc>
        <w:tc>
          <w:tcPr>
            <w:tcW w:w="2818" w:type="dxa"/>
            <w:vAlign w:val="center"/>
          </w:tcPr>
          <w:p>
            <w:pPr>
              <w:jc w:val="center"/>
              <w:rPr>
                <w:rFonts w:ascii="宋体"/>
                <w:bCs/>
                <w:color w:val="auto"/>
                <w:szCs w:val="21"/>
                <w:highlight w:val="none"/>
              </w:rPr>
            </w:pPr>
            <w:r>
              <w:rPr>
                <w:rFonts w:hint="eastAsia" w:ascii="宋体" w:hAnsi="宋体"/>
                <w:color w:val="auto"/>
                <w:highlight w:val="none"/>
              </w:rPr>
              <w:t>实验室试剂和耗材</w:t>
            </w:r>
          </w:p>
        </w:tc>
        <w:tc>
          <w:tcPr>
            <w:tcW w:w="764" w:type="dxa"/>
            <w:vAlign w:val="center"/>
          </w:tcPr>
          <w:p>
            <w:pPr>
              <w:jc w:val="center"/>
              <w:rPr>
                <w:rFonts w:ascii="宋体" w:hAnsi="宋体"/>
                <w:color w:val="auto"/>
                <w:highlight w:val="none"/>
              </w:rPr>
            </w:pPr>
            <w:r>
              <w:rPr>
                <w:rFonts w:hint="eastAsia" w:ascii="宋体" w:hAnsi="宋体"/>
                <w:color w:val="auto"/>
                <w:highlight w:val="none"/>
              </w:rPr>
              <w:t>1批</w:t>
            </w:r>
          </w:p>
        </w:tc>
        <w:tc>
          <w:tcPr>
            <w:tcW w:w="2536" w:type="dxa"/>
            <w:vAlign w:val="center"/>
          </w:tcPr>
          <w:p>
            <w:pPr>
              <w:pStyle w:val="46"/>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rPr>
              <w:t>供货期限为自合同签订起至2023年12月31日，每次供货在接到招标人通知10日内完成供货</w:t>
            </w:r>
          </w:p>
        </w:tc>
        <w:tc>
          <w:tcPr>
            <w:tcW w:w="1740" w:type="dxa"/>
            <w:vAlign w:val="center"/>
          </w:tcPr>
          <w:p>
            <w:pPr>
              <w:jc w:val="center"/>
              <w:rPr>
                <w:rFonts w:ascii="宋体" w:hAnsi="宋体"/>
                <w:color w:val="auto"/>
                <w:highlight w:val="none"/>
              </w:rPr>
            </w:pPr>
            <w:r>
              <w:rPr>
                <w:rFonts w:hint="eastAsia" w:ascii="宋体" w:hAnsi="宋体"/>
                <w:color w:val="auto"/>
                <w:highlight w:val="none"/>
              </w:rPr>
              <w:t>人民币29</w:t>
            </w:r>
            <w:r>
              <w:rPr>
                <w:rFonts w:hint="eastAsia" w:ascii="宋体" w:hAnsi="宋体"/>
                <w:color w:val="auto"/>
                <w:highlight w:val="none"/>
                <w:lang w:val="en-US" w:eastAsia="zh-CN"/>
              </w:rPr>
              <w:t>.</w:t>
            </w:r>
            <w:r>
              <w:rPr>
                <w:rFonts w:hint="eastAsia" w:ascii="宋体" w:hAnsi="宋体"/>
                <w:color w:val="auto"/>
                <w:highlight w:val="none"/>
              </w:rPr>
              <w:t>979万元</w:t>
            </w:r>
          </w:p>
        </w:tc>
      </w:tr>
    </w:tbl>
    <w:p>
      <w:pPr>
        <w:pStyle w:val="30"/>
      </w:pPr>
    </w:p>
    <w:p>
      <w:pPr>
        <w:snapToGrid w:val="0"/>
        <w:spacing w:line="360" w:lineRule="auto"/>
        <w:rPr>
          <w:rFonts w:ascii="宋体"/>
          <w:bCs/>
          <w:szCs w:val="20"/>
        </w:rPr>
      </w:pPr>
      <w:r>
        <w:rPr>
          <w:rFonts w:hint="eastAsia" w:ascii="宋体"/>
          <w:bCs/>
          <w:szCs w:val="20"/>
        </w:rPr>
        <w:t>备注：详细技术参数及执行标准、规格及主要配件详见竞价文件中的“用户需求书”。</w:t>
      </w:r>
    </w:p>
    <w:p>
      <w:pPr>
        <w:numPr>
          <w:ilvl w:val="0"/>
          <w:numId w:val="3"/>
        </w:numPr>
        <w:tabs>
          <w:tab w:val="left" w:pos="426"/>
        </w:tabs>
        <w:snapToGrid w:val="0"/>
        <w:spacing w:line="360" w:lineRule="auto"/>
        <w:rPr>
          <w:rFonts w:ascii="宋体"/>
          <w:b/>
          <w:szCs w:val="20"/>
        </w:rPr>
      </w:pPr>
      <w:r>
        <w:rPr>
          <w:rFonts w:hint="eastAsia" w:ascii="宋体"/>
          <w:b/>
          <w:szCs w:val="20"/>
        </w:rPr>
        <w:t>合格供应商资格</w:t>
      </w:r>
    </w:p>
    <w:p>
      <w:pPr>
        <w:pStyle w:val="45"/>
        <w:numPr>
          <w:ilvl w:val="0"/>
          <w:numId w:val="4"/>
        </w:numPr>
        <w:tabs>
          <w:tab w:val="left" w:pos="567"/>
        </w:tabs>
        <w:snapToGrid w:val="0"/>
        <w:spacing w:line="360" w:lineRule="auto"/>
        <w:ind w:firstLineChars="0"/>
        <w:rPr>
          <w:rFonts w:ascii="宋体" w:hAnsi="宋体" w:cs="宋体"/>
          <w:bCs/>
          <w:szCs w:val="20"/>
        </w:rPr>
      </w:pPr>
      <w:r>
        <w:rPr>
          <w:rFonts w:hint="eastAsia" w:ascii="宋体" w:hAnsi="宋体" w:cs="宋体"/>
          <w:bCs/>
          <w:szCs w:val="20"/>
        </w:rPr>
        <w:t>具备具有独立承担民事责任的能力；</w:t>
      </w:r>
    </w:p>
    <w:p>
      <w:pPr>
        <w:pStyle w:val="45"/>
        <w:numPr>
          <w:ilvl w:val="0"/>
          <w:numId w:val="4"/>
        </w:numPr>
        <w:tabs>
          <w:tab w:val="left" w:pos="567"/>
        </w:tabs>
        <w:snapToGrid w:val="0"/>
        <w:spacing w:line="360" w:lineRule="auto"/>
        <w:ind w:firstLineChars="0"/>
        <w:rPr>
          <w:rFonts w:ascii="宋体" w:hAnsi="宋体" w:cs="宋体"/>
          <w:bCs/>
          <w:szCs w:val="20"/>
        </w:rPr>
      </w:pPr>
      <w:r>
        <w:rPr>
          <w:rFonts w:hint="eastAsia" w:ascii="宋体" w:hAnsi="宋体" w:cs="宋体"/>
          <w:bCs/>
          <w:szCs w:val="20"/>
        </w:rPr>
        <w:t>供应商未被列入“信用中国”网站(www.creditchina.gov.cn)“记录失信被执行人或重大税收违法案件当事人名单（税收违法黑名单）或政府采购严重违法失信行为”记录名单；不处于中国政府采购网(www.ccgp.gov.cn)“政府采购严重违法失信行为信息记录”中的禁止参加政府采购活动期间。（以代理机构工作人员于投标（响应）截止时间当天在“信用中国”网站（www.creditchina.gov.cn）及中国政府采购网（http://www.ccgp.gov.cn/）查询结果为准，如相关失信记录已失效，供应商需提供相关证明资料。</w:t>
      </w:r>
    </w:p>
    <w:p>
      <w:pPr>
        <w:pStyle w:val="45"/>
        <w:numPr>
          <w:ilvl w:val="0"/>
          <w:numId w:val="4"/>
        </w:numPr>
        <w:tabs>
          <w:tab w:val="left" w:pos="567"/>
        </w:tabs>
        <w:snapToGrid w:val="0"/>
        <w:spacing w:line="360" w:lineRule="auto"/>
        <w:ind w:firstLineChars="0"/>
        <w:rPr>
          <w:rFonts w:ascii="宋体" w:hAnsi="宋体" w:cs="宋体"/>
          <w:bCs/>
          <w:color w:val="auto"/>
          <w:szCs w:val="20"/>
        </w:rPr>
      </w:pPr>
      <w:r>
        <w:rPr>
          <w:rFonts w:hint="eastAsia" w:ascii="宋体" w:hAnsi="宋体" w:cs="宋体"/>
          <w:bCs/>
          <w:color w:val="auto"/>
          <w:szCs w:val="20"/>
        </w:rPr>
        <w:t>供应商须具有《危险废物经营许可证》。（提供证书复印件）</w:t>
      </w:r>
      <w:r>
        <w:rPr>
          <w:rFonts w:hint="eastAsia" w:ascii="宋体" w:hAnsi="宋体" w:cs="宋体"/>
          <w:b/>
          <w:color w:val="auto"/>
          <w:szCs w:val="20"/>
        </w:rPr>
        <w:t>（适用于包组二）</w:t>
      </w:r>
    </w:p>
    <w:p>
      <w:pPr>
        <w:pStyle w:val="45"/>
        <w:numPr>
          <w:ilvl w:val="0"/>
          <w:numId w:val="4"/>
        </w:numPr>
        <w:tabs>
          <w:tab w:val="left" w:pos="567"/>
        </w:tabs>
        <w:snapToGrid w:val="0"/>
        <w:spacing w:line="360" w:lineRule="auto"/>
        <w:ind w:firstLineChars="0"/>
        <w:rPr>
          <w:rFonts w:ascii="宋体" w:hAnsi="宋体" w:cs="宋体"/>
          <w:bCs/>
          <w:szCs w:val="20"/>
        </w:rPr>
      </w:pPr>
      <w:r>
        <w:rPr>
          <w:rFonts w:hint="eastAsia" w:ascii="宋体" w:hAnsi="宋体" w:cs="宋体"/>
          <w:bCs/>
          <w:szCs w:val="20"/>
        </w:rPr>
        <w:t>本项目各包组均不接受联合体投标。</w:t>
      </w:r>
    </w:p>
    <w:p>
      <w:pPr>
        <w:numPr>
          <w:ilvl w:val="0"/>
          <w:numId w:val="3"/>
        </w:numPr>
        <w:tabs>
          <w:tab w:val="left" w:pos="426"/>
        </w:tabs>
        <w:adjustRightInd w:val="0"/>
        <w:snapToGrid w:val="0"/>
        <w:spacing w:line="360" w:lineRule="auto"/>
        <w:rPr>
          <w:rFonts w:ascii="宋体"/>
          <w:b/>
          <w:szCs w:val="20"/>
        </w:rPr>
      </w:pPr>
      <w:r>
        <w:rPr>
          <w:rFonts w:hint="eastAsia" w:ascii="宋体"/>
          <w:b/>
          <w:szCs w:val="20"/>
        </w:rPr>
        <w:t>报价文件递交</w:t>
      </w:r>
    </w:p>
    <w:p>
      <w:pPr>
        <w:adjustRightInd w:val="0"/>
        <w:snapToGrid w:val="0"/>
        <w:spacing w:line="360" w:lineRule="auto"/>
        <w:rPr>
          <w:rFonts w:ascii="宋体" w:hAnsi="宋体" w:cs="宋体"/>
          <w:b/>
          <w:bCs/>
          <w:szCs w:val="21"/>
        </w:rPr>
      </w:pPr>
      <w:r>
        <w:rPr>
          <w:rFonts w:hint="eastAsia" w:ascii="宋体" w:hAnsi="宋体" w:cs="宋体"/>
          <w:b/>
          <w:bCs/>
          <w:szCs w:val="21"/>
        </w:rPr>
        <w:t>1.报价文件份数：</w:t>
      </w:r>
      <w:r>
        <w:rPr>
          <w:rFonts w:hint="eastAsia" w:ascii="宋体" w:hAnsi="宋体" w:cs="宋体"/>
          <w:szCs w:val="21"/>
        </w:rPr>
        <w:t>正本一份，副本三份，电子文件（word、PDF或扫描件均可）一份。</w:t>
      </w:r>
    </w:p>
    <w:p>
      <w:pPr>
        <w:autoSpaceDE w:val="0"/>
        <w:autoSpaceDN w:val="0"/>
        <w:adjustRightInd w:val="0"/>
        <w:snapToGrid w:val="0"/>
        <w:spacing w:line="360" w:lineRule="auto"/>
        <w:jc w:val="left"/>
        <w:rPr>
          <w:rFonts w:ascii="宋体" w:hAnsi="宋体"/>
          <w:b/>
          <w:bCs/>
          <w:szCs w:val="21"/>
        </w:rPr>
      </w:pPr>
      <w:r>
        <w:rPr>
          <w:rFonts w:hint="eastAsia" w:ascii="宋体" w:hAnsi="宋体" w:cs="宋体"/>
          <w:b/>
          <w:bCs/>
          <w:szCs w:val="21"/>
        </w:rPr>
        <w:t>2.报价文件封装</w:t>
      </w:r>
      <w:r>
        <w:rPr>
          <w:rFonts w:hint="eastAsia" w:ascii="宋体" w:hAnsi="宋体"/>
          <w:b/>
          <w:bCs/>
          <w:szCs w:val="21"/>
        </w:rPr>
        <w:t>：</w:t>
      </w:r>
    </w:p>
    <w:p>
      <w:p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2.1 清楚写明响应供应商名称和地址。</w:t>
      </w:r>
    </w:p>
    <w:p>
      <w:pPr>
        <w:tabs>
          <w:tab w:val="left" w:pos="851"/>
        </w:tabs>
        <w:autoSpaceDE w:val="0"/>
        <w:autoSpaceDN w:val="0"/>
        <w:adjustRightInd w:val="0"/>
        <w:snapToGrid w:val="0"/>
        <w:spacing w:line="360" w:lineRule="auto"/>
        <w:jc w:val="left"/>
        <w:rPr>
          <w:rFonts w:ascii="宋体" w:hAnsi="宋体" w:cs="宋体"/>
          <w:szCs w:val="21"/>
        </w:rPr>
      </w:pPr>
      <w:r>
        <w:rPr>
          <w:rFonts w:hint="eastAsia" w:ascii="宋体" w:hAnsi="宋体"/>
          <w:szCs w:val="21"/>
        </w:rPr>
        <w:t>2.2 注明竞价文件中指明的项目名称</w:t>
      </w:r>
      <w:r>
        <w:rPr>
          <w:rFonts w:hint="eastAsia" w:ascii="宋体" w:hAnsi="宋体" w:cs="宋体"/>
          <w:szCs w:val="21"/>
          <w:lang w:eastAsia="zh-TW"/>
        </w:rPr>
        <w:t>、</w:t>
      </w:r>
      <w:r>
        <w:rPr>
          <w:rFonts w:hint="eastAsia" w:ascii="宋体" w:hAnsi="宋体" w:cs="宋体"/>
          <w:szCs w:val="21"/>
        </w:rPr>
        <w:t>项目</w:t>
      </w:r>
      <w:r>
        <w:rPr>
          <w:rFonts w:hint="eastAsia" w:ascii="宋体" w:hAnsi="宋体" w:cs="宋体"/>
          <w:szCs w:val="21"/>
          <w:lang w:eastAsia="zh-TW"/>
        </w:rPr>
        <w:t>编号和</w:t>
      </w:r>
      <w:r>
        <w:rPr>
          <w:rFonts w:hint="eastAsia" w:ascii="宋体" w:hAnsi="宋体"/>
          <w:szCs w:val="21"/>
        </w:rPr>
        <w:t>“</w:t>
      </w:r>
      <w:r>
        <w:rPr>
          <w:rFonts w:hint="eastAsia" w:ascii="宋体" w:hAnsi="宋体" w:cs="宋体"/>
          <w:szCs w:val="21"/>
          <w:lang w:eastAsia="zh-TW"/>
        </w:rPr>
        <w:t>在</w:t>
      </w:r>
      <w:r>
        <w:rPr>
          <w:rFonts w:hint="eastAsia" w:ascii="宋体" w:hAnsi="宋体" w:cs="宋体"/>
          <w:szCs w:val="21"/>
        </w:rPr>
        <w:t>竞价文件中规定的</w:t>
      </w:r>
      <w:r>
        <w:rPr>
          <w:rFonts w:ascii="宋体" w:hAnsi="宋体" w:cs="宋体"/>
          <w:szCs w:val="21"/>
        </w:rPr>
        <w:t>(</w:t>
      </w:r>
      <w:r>
        <w:rPr>
          <w:rFonts w:hint="eastAsia" w:ascii="宋体" w:hAnsi="宋体" w:cs="宋体"/>
          <w:szCs w:val="21"/>
        </w:rPr>
        <w:t>报价文件递交截止日期和时间</w:t>
      </w:r>
      <w:r>
        <w:rPr>
          <w:rFonts w:ascii="宋体" w:hAnsi="宋体" w:cs="宋体"/>
          <w:szCs w:val="21"/>
        </w:rPr>
        <w:t>)</w:t>
      </w:r>
      <w:r>
        <w:rPr>
          <w:rFonts w:hint="eastAsia" w:ascii="宋体" w:hAnsi="宋体" w:cs="宋体"/>
          <w:szCs w:val="21"/>
        </w:rPr>
        <w:t>之前不得启封”的</w:t>
      </w:r>
      <w:r>
        <w:rPr>
          <w:rFonts w:hint="eastAsia" w:ascii="宋体" w:hAnsi="宋体" w:cs="宋体"/>
          <w:szCs w:val="21"/>
          <w:lang w:eastAsia="zh-TW"/>
        </w:rPr>
        <w:t>字样。</w:t>
      </w:r>
    </w:p>
    <w:p>
      <w:pPr>
        <w:autoSpaceDE w:val="0"/>
        <w:autoSpaceDN w:val="0"/>
        <w:adjustRightInd w:val="0"/>
        <w:snapToGrid w:val="0"/>
        <w:spacing w:line="360" w:lineRule="auto"/>
        <w:jc w:val="left"/>
        <w:rPr>
          <w:rFonts w:ascii="宋体" w:hAnsi="宋体" w:cs="宋体"/>
          <w:color w:val="auto"/>
          <w:szCs w:val="21"/>
        </w:rPr>
      </w:pPr>
      <w:r>
        <w:rPr>
          <w:rFonts w:hint="eastAsia" w:ascii="宋体" w:hAnsi="宋体" w:cs="宋体"/>
          <w:b/>
          <w:bCs/>
          <w:szCs w:val="21"/>
          <w:u w:val="double"/>
          <w:lang w:eastAsia="zh-TW"/>
        </w:rPr>
        <w:t>如果未按</w:t>
      </w:r>
      <w:r>
        <w:rPr>
          <w:rFonts w:hint="eastAsia" w:ascii="宋体" w:hAnsi="宋体" w:cs="宋体"/>
          <w:b/>
          <w:bCs/>
          <w:color w:val="auto"/>
          <w:szCs w:val="21"/>
          <w:u w:val="double"/>
        </w:rPr>
        <w:t>上款</w:t>
      </w:r>
      <w:r>
        <w:rPr>
          <w:rFonts w:hint="eastAsia" w:ascii="宋体" w:hAnsi="宋体" w:cs="宋体"/>
          <w:b/>
          <w:bCs/>
          <w:color w:val="auto"/>
          <w:szCs w:val="21"/>
          <w:u w:val="double"/>
          <w:lang w:eastAsia="zh-TW"/>
        </w:rPr>
        <w:t>要求加写标记和</w:t>
      </w:r>
      <w:r>
        <w:rPr>
          <w:rFonts w:hint="eastAsia" w:ascii="宋体" w:hAnsi="宋体" w:cs="宋体"/>
          <w:b/>
          <w:bCs/>
          <w:color w:val="auto"/>
          <w:szCs w:val="21"/>
          <w:u w:val="double"/>
        </w:rPr>
        <w:t>密封，</w:t>
      </w:r>
      <w:r>
        <w:rPr>
          <w:rFonts w:hint="eastAsia" w:ascii="宋体" w:hAnsi="宋体" w:cs="宋体"/>
          <w:b/>
          <w:bCs/>
          <w:color w:val="auto"/>
          <w:szCs w:val="21"/>
          <w:u w:val="double"/>
          <w:lang w:eastAsia="zh-TW"/>
        </w:rPr>
        <w:t>招标代理机构对误投或提前启封概不负责</w:t>
      </w:r>
      <w:r>
        <w:rPr>
          <w:rFonts w:hint="eastAsia" w:ascii="宋体" w:hAnsi="宋体" w:cs="宋体"/>
          <w:b/>
          <w:bCs/>
          <w:color w:val="auto"/>
          <w:szCs w:val="21"/>
          <w:u w:val="double"/>
        </w:rPr>
        <w:t>。</w:t>
      </w:r>
    </w:p>
    <w:p>
      <w:pPr>
        <w:autoSpaceDE w:val="0"/>
        <w:autoSpaceDN w:val="0"/>
        <w:adjustRightInd w:val="0"/>
        <w:snapToGrid w:val="0"/>
        <w:spacing w:line="360" w:lineRule="auto"/>
        <w:jc w:val="left"/>
        <w:rPr>
          <w:rFonts w:ascii="宋体" w:hAnsi="宋体"/>
          <w:color w:val="auto"/>
          <w:szCs w:val="21"/>
        </w:rPr>
      </w:pPr>
      <w:r>
        <w:rPr>
          <w:rFonts w:hint="eastAsia" w:ascii="宋体" w:hAnsi="宋体" w:cs="宋体"/>
          <w:b/>
          <w:bCs/>
          <w:color w:val="auto"/>
          <w:szCs w:val="21"/>
        </w:rPr>
        <w:t>3.报价文件递交截止时间：</w:t>
      </w:r>
      <w:r>
        <w:rPr>
          <w:rFonts w:hint="eastAsia" w:ascii="宋体" w:hAnsi="宋体"/>
          <w:color w:val="auto"/>
          <w:szCs w:val="21"/>
        </w:rPr>
        <w:t>2023年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w:t>
      </w:r>
      <w:r>
        <w:rPr>
          <w:rFonts w:hint="eastAsia" w:ascii="宋体" w:hAnsi="宋体"/>
          <w:color w:val="auto"/>
          <w:szCs w:val="21"/>
        </w:rPr>
        <w:t>日</w:t>
      </w:r>
      <w:r>
        <w:rPr>
          <w:rFonts w:hint="eastAsia" w:ascii="宋体" w:hAnsi="宋体"/>
          <w:color w:val="auto"/>
          <w:szCs w:val="21"/>
          <w:lang w:val="en-US" w:eastAsia="zh-CN"/>
        </w:rPr>
        <w:t>9</w:t>
      </w:r>
      <w:r>
        <w:rPr>
          <w:rFonts w:hint="eastAsia" w:ascii="宋体" w:hAnsi="宋体"/>
          <w:color w:val="auto"/>
          <w:szCs w:val="21"/>
        </w:rPr>
        <w:t>时30分（报价文件递交时间：2023年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w:t>
      </w:r>
      <w:r>
        <w:rPr>
          <w:rFonts w:hint="eastAsia" w:ascii="宋体" w:hAnsi="宋体"/>
          <w:color w:val="auto"/>
          <w:szCs w:val="21"/>
        </w:rPr>
        <w:t>日</w:t>
      </w:r>
      <w:r>
        <w:rPr>
          <w:rFonts w:hint="eastAsia" w:ascii="宋体" w:hAnsi="宋体"/>
          <w:color w:val="auto"/>
          <w:szCs w:val="21"/>
          <w:lang w:val="en-US" w:eastAsia="zh-CN"/>
        </w:rPr>
        <w:t>9</w:t>
      </w:r>
      <w:r>
        <w:rPr>
          <w:rFonts w:hint="eastAsia" w:ascii="宋体" w:hAnsi="宋体"/>
          <w:color w:val="auto"/>
          <w:szCs w:val="21"/>
        </w:rPr>
        <w:t>：00～</w:t>
      </w:r>
      <w:r>
        <w:rPr>
          <w:rFonts w:hint="eastAsia" w:ascii="宋体" w:hAnsi="宋体"/>
          <w:color w:val="auto"/>
          <w:szCs w:val="21"/>
          <w:lang w:val="en-US" w:eastAsia="zh-CN"/>
        </w:rPr>
        <w:t>9</w:t>
      </w:r>
      <w:r>
        <w:rPr>
          <w:rFonts w:hint="eastAsia" w:ascii="宋体" w:hAnsi="宋体"/>
          <w:color w:val="auto"/>
          <w:szCs w:val="21"/>
        </w:rPr>
        <w:t>：30）</w:t>
      </w:r>
    </w:p>
    <w:p>
      <w:pPr>
        <w:autoSpaceDE w:val="0"/>
        <w:autoSpaceDN w:val="0"/>
        <w:adjustRightInd w:val="0"/>
        <w:snapToGrid w:val="0"/>
        <w:spacing w:line="360" w:lineRule="auto"/>
        <w:jc w:val="left"/>
        <w:rPr>
          <w:rFonts w:ascii="宋体" w:hAnsi="宋体" w:cs="宋体"/>
          <w:b/>
          <w:bCs/>
          <w:szCs w:val="21"/>
        </w:rPr>
      </w:pPr>
      <w:r>
        <w:rPr>
          <w:rFonts w:hint="eastAsia" w:ascii="宋体" w:hAnsi="宋体" w:cs="宋体"/>
          <w:b/>
          <w:bCs/>
          <w:szCs w:val="21"/>
        </w:rPr>
        <w:t>4.提交报价文件地点：</w:t>
      </w:r>
      <w:r>
        <w:rPr>
          <w:rFonts w:hint="eastAsia" w:ascii="宋体" w:hAnsi="宋体" w:cs="宋体"/>
          <w:szCs w:val="21"/>
        </w:rPr>
        <w:t>广州市花都区凤凰北路41号华夏商务大厦12楼广东秤风采购招标有限公司会议室</w:t>
      </w:r>
    </w:p>
    <w:p>
      <w:pPr>
        <w:numPr>
          <w:ilvl w:val="0"/>
          <w:numId w:val="3"/>
        </w:numPr>
        <w:tabs>
          <w:tab w:val="left" w:pos="426"/>
          <w:tab w:val="left" w:pos="709"/>
        </w:tabs>
        <w:snapToGrid w:val="0"/>
        <w:spacing w:line="360" w:lineRule="auto"/>
        <w:rPr>
          <w:rFonts w:ascii="宋体"/>
          <w:b/>
          <w:szCs w:val="20"/>
        </w:rPr>
      </w:pPr>
      <w:r>
        <w:rPr>
          <w:rFonts w:hint="eastAsia" w:ascii="宋体"/>
          <w:b/>
          <w:szCs w:val="20"/>
        </w:rPr>
        <w:t>联系事项</w:t>
      </w:r>
    </w:p>
    <w:p>
      <w:pPr>
        <w:pStyle w:val="45"/>
        <w:numPr>
          <w:ilvl w:val="0"/>
          <w:numId w:val="5"/>
        </w:numPr>
        <w:tabs>
          <w:tab w:val="left" w:pos="567"/>
        </w:tabs>
        <w:snapToGrid w:val="0"/>
        <w:spacing w:line="360" w:lineRule="auto"/>
        <w:ind w:firstLineChars="0"/>
        <w:rPr>
          <w:rFonts w:ascii="宋体"/>
          <w:bCs/>
          <w:szCs w:val="20"/>
        </w:rPr>
      </w:pPr>
      <w:r>
        <w:rPr>
          <w:rFonts w:hint="eastAsia" w:ascii="宋体"/>
          <w:bCs/>
          <w:szCs w:val="20"/>
        </w:rPr>
        <w:t>招标人：</w:t>
      </w:r>
      <w:r>
        <w:rPr>
          <w:rFonts w:hint="eastAsia" w:ascii="宋体" w:hAnsi="宋体"/>
          <w:szCs w:val="21"/>
        </w:rPr>
        <w:t>广州市花都区农业技术管理中心（广州市花都区农产品质量安全监督检测中心）</w:t>
      </w:r>
    </w:p>
    <w:p>
      <w:pPr>
        <w:tabs>
          <w:tab w:val="left" w:pos="426"/>
          <w:tab w:val="left" w:pos="709"/>
        </w:tabs>
        <w:snapToGrid w:val="0"/>
        <w:spacing w:line="360" w:lineRule="auto"/>
        <w:ind w:left="420"/>
        <w:rPr>
          <w:rFonts w:ascii="宋体" w:hAnsi="宋体"/>
          <w:color w:val="000000"/>
          <w:szCs w:val="21"/>
        </w:rPr>
      </w:pPr>
      <w:r>
        <w:rPr>
          <w:rFonts w:hint="eastAsia" w:ascii="宋体" w:hAnsi="宋体"/>
          <w:color w:val="000000"/>
          <w:szCs w:val="21"/>
        </w:rPr>
        <w:t>地址：广州市花都区新</w:t>
      </w:r>
      <w:r>
        <w:rPr>
          <w:rFonts w:ascii="宋体" w:hAnsi="宋体"/>
          <w:color w:val="000000"/>
          <w:szCs w:val="21"/>
        </w:rPr>
        <w:t>华街</w:t>
      </w:r>
      <w:r>
        <w:rPr>
          <w:rFonts w:hint="eastAsia" w:ascii="宋体" w:hAnsi="宋体"/>
          <w:color w:val="000000"/>
          <w:szCs w:val="21"/>
        </w:rPr>
        <w:t>建设路53号</w:t>
      </w:r>
    </w:p>
    <w:p>
      <w:pPr>
        <w:tabs>
          <w:tab w:val="left" w:pos="426"/>
          <w:tab w:val="left" w:pos="709"/>
        </w:tabs>
        <w:snapToGrid w:val="0"/>
        <w:spacing w:line="360" w:lineRule="auto"/>
        <w:ind w:left="420"/>
        <w:rPr>
          <w:rFonts w:ascii="宋体" w:hAnsi="宋体"/>
          <w:color w:val="000000"/>
          <w:szCs w:val="21"/>
        </w:rPr>
      </w:pPr>
      <w:r>
        <w:rPr>
          <w:rFonts w:hint="eastAsia" w:ascii="宋体" w:hAnsi="宋体"/>
          <w:color w:val="000000"/>
          <w:szCs w:val="21"/>
        </w:rPr>
        <w:t>联系人：卢先生,危小组</w:t>
      </w:r>
    </w:p>
    <w:p>
      <w:pPr>
        <w:tabs>
          <w:tab w:val="left" w:pos="426"/>
          <w:tab w:val="left" w:pos="709"/>
        </w:tabs>
        <w:snapToGrid w:val="0"/>
        <w:spacing w:line="360" w:lineRule="auto"/>
        <w:ind w:left="420"/>
        <w:rPr>
          <w:rFonts w:ascii="宋体" w:hAnsi="宋体"/>
          <w:color w:val="00B0F0"/>
          <w:szCs w:val="21"/>
        </w:rPr>
      </w:pPr>
      <w:r>
        <w:rPr>
          <w:rFonts w:hint="eastAsia" w:ascii="宋体" w:hAnsi="宋体"/>
          <w:color w:val="000000"/>
          <w:szCs w:val="21"/>
        </w:rPr>
        <w:t>联系电话：</w:t>
      </w:r>
      <w:r>
        <w:rPr>
          <w:rFonts w:ascii="宋体" w:hAnsi="宋体"/>
          <w:color w:val="000000"/>
          <w:szCs w:val="21"/>
        </w:rPr>
        <w:t>020-</w:t>
      </w:r>
      <w:r>
        <w:rPr>
          <w:rFonts w:hint="eastAsia" w:ascii="宋体" w:hAnsi="宋体"/>
          <w:color w:val="000000"/>
          <w:szCs w:val="21"/>
        </w:rPr>
        <w:t>3699089</w:t>
      </w:r>
      <w:r>
        <w:rPr>
          <w:rFonts w:hint="eastAsia" w:ascii="宋体" w:hAnsi="宋体"/>
          <w:color w:val="auto"/>
          <w:szCs w:val="21"/>
        </w:rPr>
        <w:t>0，</w:t>
      </w:r>
      <w:r>
        <w:rPr>
          <w:rFonts w:hint="eastAsia" w:ascii="宋体" w:hAnsi="宋体"/>
          <w:color w:val="auto"/>
          <w:szCs w:val="21"/>
          <w:lang w:val="en-US" w:eastAsia="zh-CN"/>
        </w:rPr>
        <w:t>020-</w:t>
      </w:r>
      <w:r>
        <w:rPr>
          <w:rFonts w:hint="eastAsia" w:ascii="宋体" w:hAnsi="宋体"/>
          <w:color w:val="auto"/>
          <w:szCs w:val="21"/>
        </w:rPr>
        <w:t>36997850</w:t>
      </w:r>
    </w:p>
    <w:p>
      <w:pPr>
        <w:pStyle w:val="45"/>
        <w:numPr>
          <w:ilvl w:val="0"/>
          <w:numId w:val="5"/>
        </w:numPr>
        <w:tabs>
          <w:tab w:val="left" w:pos="567"/>
        </w:tabs>
        <w:snapToGrid w:val="0"/>
        <w:spacing w:line="360" w:lineRule="auto"/>
        <w:ind w:firstLineChars="0"/>
        <w:rPr>
          <w:rFonts w:ascii="宋体"/>
          <w:bCs/>
          <w:szCs w:val="20"/>
        </w:rPr>
      </w:pPr>
      <w:r>
        <w:rPr>
          <w:rFonts w:hint="eastAsia" w:ascii="宋体" w:hAnsi="宋体"/>
          <w:szCs w:val="21"/>
        </w:rPr>
        <w:t>招标代理机构：</w:t>
      </w:r>
      <w:r>
        <w:rPr>
          <w:rFonts w:hint="eastAsia" w:ascii="宋体" w:hAnsi="宋体"/>
        </w:rPr>
        <w:t>广东秤风采购招标有限公司</w:t>
      </w:r>
    </w:p>
    <w:p>
      <w:pPr>
        <w:tabs>
          <w:tab w:val="left" w:pos="426"/>
          <w:tab w:val="left" w:pos="709"/>
        </w:tabs>
        <w:snapToGrid w:val="0"/>
        <w:spacing w:line="360" w:lineRule="auto"/>
        <w:ind w:left="420"/>
        <w:rPr>
          <w:rFonts w:ascii="宋体" w:hAnsi="宋体"/>
        </w:rPr>
      </w:pPr>
      <w:r>
        <w:rPr>
          <w:rFonts w:hint="eastAsia" w:ascii="宋体" w:hAnsi="宋体"/>
        </w:rPr>
        <w:t>地址：广州市花都区凤凰北路41号华夏商务大厦1204房</w:t>
      </w:r>
    </w:p>
    <w:p>
      <w:pPr>
        <w:tabs>
          <w:tab w:val="left" w:pos="426"/>
          <w:tab w:val="left" w:pos="709"/>
        </w:tabs>
        <w:snapToGrid w:val="0"/>
        <w:spacing w:line="360" w:lineRule="auto"/>
        <w:ind w:left="420"/>
        <w:rPr>
          <w:rFonts w:ascii="宋体" w:hAnsi="宋体"/>
          <w:szCs w:val="21"/>
        </w:rPr>
      </w:pPr>
      <w:r>
        <w:rPr>
          <w:rFonts w:hint="eastAsia" w:ascii="宋体" w:hAnsi="宋体"/>
          <w:szCs w:val="21"/>
        </w:rPr>
        <w:t>联系人：张小姐</w:t>
      </w:r>
    </w:p>
    <w:p>
      <w:pPr>
        <w:tabs>
          <w:tab w:val="left" w:pos="426"/>
          <w:tab w:val="left" w:pos="709"/>
        </w:tabs>
        <w:snapToGrid w:val="0"/>
        <w:spacing w:line="360" w:lineRule="auto"/>
        <w:ind w:left="420"/>
        <w:rPr>
          <w:rFonts w:ascii="宋体" w:hAnsi="宋体"/>
          <w:szCs w:val="21"/>
        </w:rPr>
      </w:pPr>
      <w:r>
        <w:rPr>
          <w:rFonts w:hint="eastAsia" w:ascii="宋体" w:hAnsi="宋体"/>
          <w:szCs w:val="21"/>
        </w:rPr>
        <w:t>联系电话：020-37726707-310</w:t>
      </w:r>
    </w:p>
    <w:p>
      <w:pPr>
        <w:numPr>
          <w:ilvl w:val="0"/>
          <w:numId w:val="3"/>
        </w:numPr>
        <w:tabs>
          <w:tab w:val="left" w:pos="426"/>
          <w:tab w:val="left" w:pos="709"/>
        </w:tabs>
        <w:snapToGrid w:val="0"/>
        <w:spacing w:line="360" w:lineRule="auto"/>
        <w:rPr>
          <w:rFonts w:ascii="宋体" w:hAnsi="宋体"/>
          <w:b/>
          <w:szCs w:val="21"/>
        </w:rPr>
      </w:pPr>
      <w:r>
        <w:rPr>
          <w:rFonts w:hint="eastAsia" w:ascii="宋体"/>
          <w:b/>
          <w:szCs w:val="20"/>
        </w:rPr>
        <w:t>本项目相关公告在中国招标投标公共服务平台（www.cebpubservice.com）及招标代理机构网站（www.gdcf.net.cn）上发布。</w:t>
      </w:r>
      <w:r>
        <w:rPr>
          <w:rFonts w:hint="eastAsia" w:ascii="宋体" w:hAnsi="宋体"/>
          <w:b/>
          <w:szCs w:val="21"/>
        </w:rPr>
        <w:t>相关公告在媒体上公布之日即视为有效送达，不再另行通知。</w:t>
      </w:r>
    </w:p>
    <w:p>
      <w:pPr>
        <w:tabs>
          <w:tab w:val="left" w:pos="8222"/>
        </w:tabs>
        <w:snapToGrid w:val="0"/>
        <w:spacing w:line="360" w:lineRule="auto"/>
        <w:ind w:right="-57" w:rightChars="-27" w:firstLine="435"/>
        <w:jc w:val="right"/>
      </w:pPr>
      <w:r>
        <w:rPr>
          <w:rFonts w:hint="eastAsia"/>
        </w:rPr>
        <w:t>广东秤风采购招标有限公司</w:t>
      </w:r>
    </w:p>
    <w:p>
      <w:pPr>
        <w:tabs>
          <w:tab w:val="left" w:pos="8222"/>
        </w:tabs>
        <w:snapToGrid w:val="0"/>
        <w:spacing w:line="360" w:lineRule="auto"/>
        <w:ind w:right="-57" w:rightChars="-27" w:firstLine="435"/>
        <w:jc w:val="right"/>
        <w:rPr>
          <w:rFonts w:ascii="宋体" w:hAnsi="宋体"/>
          <w:b/>
          <w:sz w:val="50"/>
          <w:szCs w:val="50"/>
        </w:rPr>
      </w:pPr>
      <w:bookmarkStart w:id="3" w:name="_Toc457466590"/>
      <w:r>
        <w:rPr>
          <w:rFonts w:hint="eastAsia" w:ascii="宋体" w:hAnsi="宋体"/>
        </w:rPr>
        <w:t>2023年</w:t>
      </w:r>
      <w:r>
        <w:rPr>
          <w:rFonts w:hint="eastAsia" w:ascii="宋体" w:hAnsi="宋体"/>
          <w:lang w:val="en-US" w:eastAsia="zh-CN"/>
        </w:rPr>
        <w:t>5</w:t>
      </w:r>
      <w:r>
        <w:rPr>
          <w:rFonts w:hint="eastAsia" w:ascii="宋体" w:hAnsi="宋体"/>
        </w:rPr>
        <w:t>月</w:t>
      </w:r>
      <w:r>
        <w:rPr>
          <w:rFonts w:hint="eastAsia" w:ascii="宋体" w:hAnsi="宋体"/>
          <w:lang w:val="en-US" w:eastAsia="zh-CN"/>
        </w:rPr>
        <w:t>31</w:t>
      </w:r>
      <w:r>
        <w:rPr>
          <w:rFonts w:hint="eastAsia" w:ascii="宋体" w:hAnsi="宋体"/>
        </w:rPr>
        <w:t>日</w:t>
      </w:r>
      <w:bookmarkEnd w:id="3"/>
    </w:p>
    <w:p>
      <w:pPr>
        <w:adjustRightInd w:val="0"/>
        <w:snapToGrid w:val="0"/>
        <w:spacing w:line="360" w:lineRule="auto"/>
        <w:jc w:val="center"/>
        <w:rPr>
          <w:rFonts w:ascii="宋体" w:hAnsi="宋体"/>
          <w:b/>
          <w:sz w:val="30"/>
          <w:szCs w:val="30"/>
        </w:rPr>
      </w:pPr>
      <w:r>
        <w:rPr>
          <w:rFonts w:ascii="宋体" w:hAnsi="宋体"/>
          <w:b/>
          <w:color w:val="FF0000"/>
          <w:sz w:val="36"/>
          <w:szCs w:val="36"/>
        </w:rPr>
        <w:br w:type="page"/>
      </w:r>
      <w:bookmarkStart w:id="4" w:name="_Toc457466592"/>
      <w:bookmarkStart w:id="5" w:name="_Toc423350473"/>
      <w:bookmarkStart w:id="6" w:name="_Toc15542"/>
      <w:r>
        <w:rPr>
          <w:rFonts w:hint="eastAsia"/>
          <w:b/>
          <w:bCs/>
          <w:kern w:val="0"/>
          <w:sz w:val="30"/>
          <w:szCs w:val="30"/>
        </w:rPr>
        <w:t>须知</w:t>
      </w:r>
      <w:bookmarkEnd w:id="4"/>
      <w:bookmarkEnd w:id="5"/>
      <w:bookmarkEnd w:id="6"/>
      <w:r>
        <w:rPr>
          <w:rFonts w:hint="eastAsia"/>
          <w:b/>
          <w:bCs/>
          <w:kern w:val="0"/>
          <w:sz w:val="30"/>
          <w:szCs w:val="30"/>
        </w:rPr>
        <w:t>说明</w:t>
      </w:r>
    </w:p>
    <w:p>
      <w:pPr>
        <w:numPr>
          <w:ilvl w:val="0"/>
          <w:numId w:val="6"/>
        </w:numPr>
        <w:autoSpaceDE w:val="0"/>
        <w:autoSpaceDN w:val="0"/>
        <w:adjustRightInd w:val="0"/>
        <w:snapToGrid w:val="0"/>
        <w:spacing w:line="360" w:lineRule="auto"/>
        <w:rPr>
          <w:rFonts w:ascii="宋体" w:hAnsi="宋体"/>
          <w:b/>
          <w:szCs w:val="21"/>
        </w:rPr>
      </w:pPr>
      <w:bookmarkStart w:id="7" w:name="_Toc423350503"/>
      <w:bookmarkStart w:id="8" w:name="_Toc457466623"/>
      <w:bookmarkStart w:id="9" w:name="_Toc371432365"/>
      <w:r>
        <w:rPr>
          <w:rFonts w:hint="eastAsia" w:ascii="宋体" w:hAnsi="宋体" w:cs="黑体"/>
          <w:b/>
          <w:bCs/>
          <w:szCs w:val="21"/>
        </w:rPr>
        <w:t>竞价评审小组</w:t>
      </w:r>
    </w:p>
    <w:p>
      <w:pPr>
        <w:numPr>
          <w:ilvl w:val="1"/>
          <w:numId w:val="6"/>
        </w:numPr>
        <w:autoSpaceDE w:val="0"/>
        <w:autoSpaceDN w:val="0"/>
        <w:adjustRightInd w:val="0"/>
        <w:snapToGrid w:val="0"/>
        <w:spacing w:line="360" w:lineRule="auto"/>
        <w:jc w:val="left"/>
        <w:rPr>
          <w:rFonts w:ascii="宋体" w:hAnsi="宋体"/>
          <w:szCs w:val="21"/>
        </w:rPr>
      </w:pPr>
      <w:r>
        <w:rPr>
          <w:rFonts w:hint="eastAsia" w:ascii="宋体" w:hAnsi="宋体" w:cs="宋体"/>
          <w:szCs w:val="21"/>
        </w:rPr>
        <w:t>竞价</w:t>
      </w:r>
      <w:r>
        <w:rPr>
          <w:rFonts w:hint="eastAsia" w:ascii="宋体" w:hAnsi="宋体" w:cs="宋体"/>
          <w:szCs w:val="21"/>
          <w:lang w:eastAsia="zh-TW"/>
        </w:rPr>
        <w:t>由依照</w:t>
      </w:r>
      <w:r>
        <w:rPr>
          <w:rFonts w:hint="eastAsia" w:ascii="宋体" w:hAnsi="宋体" w:cs="宋体"/>
          <w:szCs w:val="21"/>
        </w:rPr>
        <w:t>相关</w:t>
      </w:r>
      <w:r>
        <w:rPr>
          <w:rFonts w:hint="eastAsia" w:ascii="宋体" w:hAnsi="宋体" w:cs="宋体"/>
          <w:szCs w:val="21"/>
          <w:lang w:eastAsia="zh-TW"/>
        </w:rPr>
        <w:t>法律、法规规定组建的</w:t>
      </w:r>
      <w:r>
        <w:rPr>
          <w:rFonts w:hint="eastAsia" w:ascii="宋体" w:hAnsi="宋体" w:cs="宋体"/>
          <w:szCs w:val="21"/>
        </w:rPr>
        <w:t>竞价评审小组</w:t>
      </w:r>
      <w:r>
        <w:rPr>
          <w:rFonts w:hint="eastAsia" w:ascii="宋体" w:hAnsi="宋体" w:cs="宋体"/>
          <w:szCs w:val="21"/>
          <w:lang w:eastAsia="zh-TW"/>
        </w:rPr>
        <w:t>负责。</w:t>
      </w:r>
      <w:r>
        <w:rPr>
          <w:rFonts w:hint="eastAsia" w:ascii="宋体" w:hAnsi="宋体"/>
          <w:szCs w:val="21"/>
        </w:rPr>
        <w:t>竞价评审小组</w:t>
      </w:r>
      <w:r>
        <w:rPr>
          <w:rFonts w:hint="eastAsia" w:ascii="宋体" w:hAnsi="宋体" w:cs="宋体"/>
          <w:szCs w:val="21"/>
          <w:lang w:eastAsia="zh-TW"/>
        </w:rPr>
        <w:t>按规定由招标人代表和</w:t>
      </w:r>
      <w:r>
        <w:rPr>
          <w:rFonts w:hint="eastAsia" w:ascii="宋体" w:hAnsi="宋体" w:cs="宋体"/>
          <w:szCs w:val="21"/>
        </w:rPr>
        <w:t>从专家库随机抽取的有关</w:t>
      </w:r>
      <w:r>
        <w:rPr>
          <w:rFonts w:hint="eastAsia" w:ascii="宋体" w:hAnsi="宋体" w:cs="宋体"/>
          <w:szCs w:val="21"/>
          <w:lang w:eastAsia="zh-TW"/>
        </w:rPr>
        <w:t>技术、经济等方面的专家组成，</w:t>
      </w:r>
      <w:r>
        <w:rPr>
          <w:rFonts w:hint="eastAsia" w:ascii="宋体" w:hAnsi="宋体"/>
          <w:bCs/>
        </w:rPr>
        <w:t>竞价评审小组</w:t>
      </w:r>
      <w:r>
        <w:rPr>
          <w:rFonts w:hint="eastAsia" w:ascii="宋体" w:hAnsi="宋体"/>
          <w:szCs w:val="21"/>
        </w:rPr>
        <w:t>由3名单数组成</w:t>
      </w:r>
      <w:r>
        <w:rPr>
          <w:rFonts w:hint="eastAsia" w:ascii="宋体" w:hAnsi="宋体" w:cs="宋体"/>
          <w:szCs w:val="21"/>
          <w:lang w:eastAsia="zh-TW"/>
        </w:rPr>
        <w:t>。</w:t>
      </w:r>
    </w:p>
    <w:p>
      <w:pPr>
        <w:numPr>
          <w:ilvl w:val="0"/>
          <w:numId w:val="6"/>
        </w:numPr>
        <w:autoSpaceDE w:val="0"/>
        <w:autoSpaceDN w:val="0"/>
        <w:adjustRightInd w:val="0"/>
        <w:snapToGrid w:val="0"/>
        <w:spacing w:line="360" w:lineRule="auto"/>
        <w:rPr>
          <w:rFonts w:ascii="宋体" w:hAnsi="宋体" w:cs="黑体"/>
          <w:b/>
          <w:bCs/>
          <w:szCs w:val="21"/>
          <w:lang w:eastAsia="zh-TW"/>
        </w:rPr>
      </w:pPr>
      <w:bookmarkStart w:id="10" w:name="_Toc419125963"/>
      <w:r>
        <w:rPr>
          <w:rFonts w:hint="eastAsia" w:ascii="宋体" w:hAnsi="宋体" w:cs="黑体"/>
          <w:b/>
          <w:bCs/>
          <w:szCs w:val="21"/>
        </w:rPr>
        <w:t>竞价过程</w:t>
      </w:r>
      <w:bookmarkEnd w:id="10"/>
    </w:p>
    <w:p>
      <w:pPr>
        <w:numPr>
          <w:ilvl w:val="1"/>
          <w:numId w:val="6"/>
        </w:numPr>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竞价评审小组</w:t>
      </w:r>
      <w:r>
        <w:rPr>
          <w:rFonts w:hint="eastAsia" w:ascii="宋体" w:hAnsi="宋体" w:cs="宋体"/>
          <w:szCs w:val="21"/>
          <w:lang w:eastAsia="zh-TW"/>
        </w:rPr>
        <w:t>将根据</w:t>
      </w:r>
      <w:r>
        <w:rPr>
          <w:rFonts w:hint="eastAsia" w:ascii="宋体" w:hAnsi="宋体" w:cs="宋体"/>
          <w:szCs w:val="21"/>
        </w:rPr>
        <w:t>竞价文件</w:t>
      </w:r>
      <w:r>
        <w:rPr>
          <w:rFonts w:hint="eastAsia" w:ascii="宋体" w:hAnsi="宋体" w:cs="宋体"/>
          <w:szCs w:val="21"/>
          <w:lang w:eastAsia="zh-TW"/>
        </w:rPr>
        <w:t>的规定，对</w:t>
      </w:r>
      <w:r>
        <w:rPr>
          <w:rFonts w:hint="eastAsia" w:ascii="宋体" w:hAnsi="宋体" w:cs="宋体"/>
          <w:szCs w:val="21"/>
        </w:rPr>
        <w:t>报价文件</w:t>
      </w:r>
      <w:r>
        <w:rPr>
          <w:rFonts w:hint="eastAsia" w:ascii="宋体" w:hAnsi="宋体" w:cs="宋体"/>
          <w:szCs w:val="21"/>
          <w:lang w:eastAsia="zh-TW"/>
        </w:rPr>
        <w:t>进行资格性、符合性评审</w:t>
      </w:r>
      <w:r>
        <w:rPr>
          <w:rFonts w:hint="eastAsia" w:ascii="宋体" w:hAnsi="宋体" w:cs="宋体"/>
          <w:szCs w:val="21"/>
        </w:rPr>
        <w:t>。</w:t>
      </w:r>
      <w:r>
        <w:rPr>
          <w:rFonts w:hint="eastAsia" w:ascii="宋体" w:hAnsi="宋体" w:cs="宋体"/>
          <w:szCs w:val="21"/>
          <w:lang w:eastAsia="zh-TW"/>
        </w:rPr>
        <w:t>未能通过资格性、符合性审查被认定为无效</w:t>
      </w:r>
      <w:r>
        <w:rPr>
          <w:rFonts w:hint="eastAsia" w:ascii="宋体" w:hAnsi="宋体" w:cs="宋体"/>
          <w:szCs w:val="21"/>
        </w:rPr>
        <w:t>响应。</w:t>
      </w:r>
    </w:p>
    <w:p>
      <w:pPr>
        <w:autoSpaceDE w:val="0"/>
        <w:autoSpaceDN w:val="0"/>
        <w:adjustRightInd w:val="0"/>
        <w:snapToGrid w:val="0"/>
        <w:spacing w:line="360" w:lineRule="auto"/>
        <w:jc w:val="center"/>
        <w:rPr>
          <w:rFonts w:ascii="黑体" w:hAnsi="宋体" w:eastAsia="黑体" w:cs="宋体"/>
          <w:sz w:val="28"/>
          <w:szCs w:val="28"/>
        </w:rPr>
      </w:pPr>
      <w:r>
        <w:rPr>
          <w:rFonts w:hint="eastAsia" w:ascii="黑体" w:hAnsi="宋体" w:eastAsia="黑体" w:cs="宋体"/>
          <w:sz w:val="28"/>
          <w:szCs w:val="28"/>
        </w:rPr>
        <w:t>资格、符合性评审表（包组一、二、三、四）</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vAlign w:val="center"/>
          </w:tcPr>
          <w:p>
            <w:pPr>
              <w:snapToGrid w:val="0"/>
              <w:jc w:val="center"/>
              <w:rPr>
                <w:b/>
              </w:rPr>
            </w:pPr>
            <w:r>
              <w:rPr>
                <w:rFonts w:hint="eastAsia"/>
                <w:b/>
              </w:rPr>
              <w:t>序号</w:t>
            </w:r>
          </w:p>
        </w:tc>
        <w:tc>
          <w:tcPr>
            <w:tcW w:w="8126" w:type="dxa"/>
            <w:tcBorders>
              <w:top w:val="single" w:color="auto" w:sz="12" w:space="0"/>
              <w:right w:val="single" w:color="auto" w:sz="12" w:space="0"/>
            </w:tcBorders>
            <w:vAlign w:val="center"/>
          </w:tcPr>
          <w:p>
            <w:pPr>
              <w:snapToGrid w:val="0"/>
              <w:jc w:val="center"/>
              <w:rPr>
                <w:b/>
              </w:rPr>
            </w:pPr>
            <w:r>
              <w:rPr>
                <w:rFonts w:hint="eastAsia"/>
                <w:b/>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91" w:type="dxa"/>
            <w:tcBorders>
              <w:top w:val="single" w:color="auto" w:sz="12" w:space="0"/>
              <w:left w:val="single" w:color="auto" w:sz="12" w:space="0"/>
            </w:tcBorders>
            <w:vAlign w:val="center"/>
          </w:tcPr>
          <w:p>
            <w:pPr>
              <w:numPr>
                <w:ilvl w:val="0"/>
                <w:numId w:val="7"/>
              </w:numPr>
              <w:tabs>
                <w:tab w:val="left" w:pos="223"/>
              </w:tabs>
              <w:snapToGrid w:val="0"/>
              <w:jc w:val="center"/>
              <w:rPr>
                <w:rFonts w:ascii="宋体" w:hAnsi="宋体"/>
                <w:b/>
              </w:rPr>
            </w:pPr>
          </w:p>
        </w:tc>
        <w:tc>
          <w:tcPr>
            <w:tcW w:w="8126" w:type="dxa"/>
            <w:tcBorders>
              <w:top w:val="single" w:color="auto" w:sz="12" w:space="0"/>
              <w:right w:val="single" w:color="auto" w:sz="12" w:space="0"/>
            </w:tcBorders>
            <w:vAlign w:val="center"/>
          </w:tcPr>
          <w:p>
            <w:pPr>
              <w:rPr>
                <w:rFonts w:ascii="宋体" w:hAnsi="宋体" w:cs="宋体"/>
              </w:rPr>
            </w:pPr>
            <w:r>
              <w:rPr>
                <w:rFonts w:hint="eastAsia" w:ascii="宋体" w:hAnsi="宋体" w:cs="宋体"/>
              </w:rPr>
              <w:t>具备竞价文件中规定资格要求的及资格证明文件齐全；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7"/>
              </w:numPr>
              <w:tabs>
                <w:tab w:val="left" w:pos="223"/>
              </w:tabs>
              <w:snapToGrid w:val="0"/>
              <w:jc w:val="center"/>
              <w:rPr>
                <w:rFonts w:ascii="宋体" w:hAnsi="宋体"/>
                <w:b/>
              </w:rPr>
            </w:pPr>
          </w:p>
        </w:tc>
        <w:tc>
          <w:tcPr>
            <w:tcW w:w="8126" w:type="dxa"/>
            <w:tcBorders>
              <w:right w:val="single" w:color="auto" w:sz="12" w:space="0"/>
            </w:tcBorders>
            <w:vAlign w:val="center"/>
          </w:tcPr>
          <w:p>
            <w:pPr>
              <w:rPr>
                <w:rFonts w:ascii="宋体" w:hAnsi="宋体" w:cs="宋体"/>
              </w:rPr>
            </w:pPr>
            <w:r>
              <w:rPr>
                <w:rFonts w:hint="eastAsia" w:ascii="宋体" w:hAnsi="宋体" w:cs="宋体"/>
              </w:rPr>
              <w:t>报价函已提交并符合竞价文件要求的；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7"/>
              </w:numPr>
              <w:tabs>
                <w:tab w:val="left" w:pos="223"/>
              </w:tabs>
              <w:snapToGrid w:val="0"/>
              <w:jc w:val="center"/>
              <w:rPr>
                <w:rFonts w:ascii="宋体" w:hAnsi="宋体"/>
                <w:b/>
              </w:rPr>
            </w:pPr>
          </w:p>
        </w:tc>
        <w:tc>
          <w:tcPr>
            <w:tcW w:w="8126" w:type="dxa"/>
            <w:tcBorders>
              <w:right w:val="single" w:color="auto" w:sz="12" w:space="0"/>
            </w:tcBorders>
            <w:vAlign w:val="center"/>
          </w:tcPr>
          <w:p>
            <w:pPr>
              <w:ind w:left="10" w:hanging="10" w:hangingChars="5"/>
              <w:rPr>
                <w:rFonts w:ascii="宋体" w:hAnsi="宋体" w:cs="宋体"/>
              </w:rPr>
            </w:pPr>
            <w:r>
              <w:rPr>
                <w:rFonts w:hint="eastAsia" w:ascii="宋体" w:hAnsi="宋体" w:cs="宋体"/>
              </w:rPr>
              <w:t>按照竞价文件规定要求签署、盖章且报价文件有法定代表人签字，或签字人有法定代表人有效授权书的；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7"/>
              </w:numPr>
              <w:tabs>
                <w:tab w:val="left" w:pos="223"/>
              </w:tabs>
              <w:snapToGrid w:val="0"/>
              <w:jc w:val="center"/>
              <w:rPr>
                <w:rFonts w:ascii="宋体" w:hAnsi="宋体" w:cs="宋体"/>
                <w:b/>
                <w:color w:val="auto"/>
              </w:rPr>
            </w:pPr>
          </w:p>
        </w:tc>
        <w:tc>
          <w:tcPr>
            <w:tcW w:w="8126" w:type="dxa"/>
            <w:tcBorders>
              <w:right w:val="single" w:color="auto" w:sz="12" w:space="0"/>
            </w:tcBorders>
            <w:vAlign w:val="center"/>
          </w:tcPr>
          <w:p>
            <w:pPr>
              <w:ind w:left="315" w:hanging="315" w:hangingChars="150"/>
              <w:rPr>
                <w:rFonts w:ascii="宋体" w:hAnsi="宋体" w:cs="宋体"/>
                <w:color w:val="auto"/>
              </w:rPr>
            </w:pPr>
            <w:r>
              <w:rPr>
                <w:rFonts w:hint="eastAsia" w:ascii="宋体" w:hAnsi="宋体" w:cs="宋体"/>
                <w:color w:val="auto"/>
              </w:rPr>
              <w:t>投标报价未超过本包组最高限价的；（适用于包组一、二、三）</w:t>
            </w:r>
          </w:p>
          <w:p>
            <w:pPr>
              <w:pStyle w:val="30"/>
              <w:rPr>
                <w:rFonts w:ascii="宋体" w:hAnsi="宋体" w:cs="宋体"/>
                <w:color w:val="auto"/>
              </w:rPr>
            </w:pPr>
            <w:r>
              <w:rPr>
                <w:rFonts w:hint="eastAsia" w:ascii="宋体" w:hAnsi="宋体" w:cs="宋体"/>
                <w:bCs w:val="0"/>
                <w:color w:val="auto"/>
                <w:spacing w:val="0"/>
                <w:kern w:val="2"/>
                <w:sz w:val="21"/>
              </w:rPr>
              <w:t>下浮率在0%-100%范围内，且投标下浮率是固定唯一；（适用于包组四）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1" w:type="dxa"/>
            <w:tcBorders>
              <w:left w:val="single" w:color="auto" w:sz="12" w:space="0"/>
            </w:tcBorders>
            <w:vAlign w:val="center"/>
          </w:tcPr>
          <w:p>
            <w:pPr>
              <w:numPr>
                <w:ilvl w:val="0"/>
                <w:numId w:val="7"/>
              </w:numPr>
              <w:tabs>
                <w:tab w:val="left" w:pos="223"/>
              </w:tabs>
              <w:snapToGrid w:val="0"/>
              <w:jc w:val="center"/>
              <w:rPr>
                <w:rFonts w:ascii="宋体" w:hAnsi="宋体"/>
                <w:b/>
                <w:color w:val="auto"/>
              </w:rPr>
            </w:pPr>
          </w:p>
        </w:tc>
        <w:tc>
          <w:tcPr>
            <w:tcW w:w="8126" w:type="dxa"/>
            <w:tcBorders>
              <w:right w:val="single" w:color="auto" w:sz="12" w:space="0"/>
            </w:tcBorders>
            <w:vAlign w:val="center"/>
          </w:tcPr>
          <w:p>
            <w:pPr>
              <w:rPr>
                <w:rFonts w:ascii="宋体" w:hAnsi="宋体" w:cs="宋体"/>
                <w:color w:val="auto"/>
              </w:rPr>
            </w:pPr>
            <w:r>
              <w:rPr>
                <w:rFonts w:hint="eastAsia" w:ascii="宋体" w:hAnsi="宋体" w:cs="宋体"/>
                <w:color w:val="auto"/>
              </w:rPr>
              <w:t>报价文件没有竞价文件中规定的其它无效响应条款的；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1" w:type="dxa"/>
            <w:tcBorders>
              <w:left w:val="single" w:color="auto" w:sz="12" w:space="0"/>
              <w:bottom w:val="single" w:color="auto" w:sz="12" w:space="0"/>
            </w:tcBorders>
            <w:vAlign w:val="center"/>
          </w:tcPr>
          <w:p>
            <w:pPr>
              <w:numPr>
                <w:ilvl w:val="0"/>
                <w:numId w:val="7"/>
              </w:numPr>
              <w:tabs>
                <w:tab w:val="left" w:pos="223"/>
              </w:tabs>
              <w:snapToGrid w:val="0"/>
              <w:jc w:val="center"/>
              <w:rPr>
                <w:rFonts w:ascii="宋体" w:hAnsi="宋体"/>
                <w:b/>
                <w:color w:val="auto"/>
              </w:rPr>
            </w:pPr>
          </w:p>
        </w:tc>
        <w:tc>
          <w:tcPr>
            <w:tcW w:w="8126" w:type="dxa"/>
            <w:tcBorders>
              <w:bottom w:val="single" w:color="auto" w:sz="12" w:space="0"/>
              <w:right w:val="single" w:color="auto" w:sz="12" w:space="0"/>
            </w:tcBorders>
            <w:vAlign w:val="center"/>
          </w:tcPr>
          <w:p>
            <w:pPr>
              <w:snapToGrid w:val="0"/>
              <w:rPr>
                <w:color w:val="auto"/>
              </w:rPr>
            </w:pPr>
            <w:r>
              <w:rPr>
                <w:rFonts w:hint="eastAsia" w:ascii="宋体" w:hAnsi="宋体" w:cs="宋体"/>
                <w:color w:val="auto"/>
              </w:rPr>
              <w:t>按有关法律、法规、规章不属于无效响应的。</w:t>
            </w:r>
          </w:p>
        </w:tc>
      </w:tr>
    </w:tbl>
    <w:p>
      <w:pPr>
        <w:pStyle w:val="41"/>
        <w:ind w:firstLine="400"/>
        <w:rPr>
          <w:color w:val="auto"/>
        </w:rPr>
      </w:pPr>
    </w:p>
    <w:bookmarkEnd w:id="7"/>
    <w:bookmarkEnd w:id="8"/>
    <w:bookmarkEnd w:id="9"/>
    <w:p>
      <w:pPr>
        <w:numPr>
          <w:ilvl w:val="0"/>
          <w:numId w:val="6"/>
        </w:numPr>
        <w:autoSpaceDE w:val="0"/>
        <w:autoSpaceDN w:val="0"/>
        <w:adjustRightInd w:val="0"/>
        <w:snapToGrid w:val="0"/>
        <w:spacing w:line="360" w:lineRule="auto"/>
        <w:rPr>
          <w:rFonts w:ascii="宋体" w:hAnsi="宋体" w:cs="黑体"/>
          <w:b/>
          <w:bCs/>
          <w:color w:val="auto"/>
          <w:szCs w:val="21"/>
          <w:lang w:eastAsia="zh-TW"/>
        </w:rPr>
      </w:pPr>
      <w:bookmarkStart w:id="11" w:name="_Toc381000419"/>
      <w:bookmarkStart w:id="12" w:name="_Toc419125964"/>
      <w:bookmarkStart w:id="13" w:name="_Toc423350507"/>
      <w:bookmarkStart w:id="14" w:name="_Toc371432369"/>
      <w:bookmarkStart w:id="15" w:name="_Toc457466627"/>
      <w:r>
        <w:rPr>
          <w:rFonts w:hint="eastAsia" w:ascii="宋体" w:hAnsi="宋体" w:cs="黑体"/>
          <w:b/>
          <w:bCs/>
          <w:color w:val="auto"/>
          <w:szCs w:val="21"/>
          <w:lang w:eastAsia="zh-TW"/>
        </w:rPr>
        <w:t>评定成交的</w:t>
      </w:r>
      <w:r>
        <w:rPr>
          <w:rFonts w:ascii="宋体" w:hAnsi="宋体" w:cs="黑体"/>
          <w:b/>
          <w:bCs/>
          <w:color w:val="auto"/>
          <w:szCs w:val="21"/>
          <w:lang w:eastAsia="zh-TW"/>
        </w:rPr>
        <w:t>评审方法</w:t>
      </w:r>
      <w:r>
        <w:rPr>
          <w:rFonts w:hint="eastAsia" w:ascii="宋体" w:hAnsi="宋体" w:cs="黑体"/>
          <w:b/>
          <w:bCs/>
          <w:color w:val="auto"/>
          <w:szCs w:val="21"/>
          <w:lang w:eastAsia="zh-TW"/>
        </w:rPr>
        <w:t>和标准</w:t>
      </w:r>
      <w:bookmarkEnd w:id="11"/>
      <w:bookmarkEnd w:id="12"/>
    </w:p>
    <w:p>
      <w:pPr>
        <w:numPr>
          <w:ilvl w:val="1"/>
          <w:numId w:val="6"/>
        </w:numPr>
        <w:autoSpaceDE w:val="0"/>
        <w:autoSpaceDN w:val="0"/>
        <w:adjustRightInd w:val="0"/>
        <w:snapToGrid w:val="0"/>
        <w:spacing w:line="360" w:lineRule="auto"/>
        <w:rPr>
          <w:rFonts w:ascii="宋体" w:hAnsi="宋体" w:cs="宋体"/>
          <w:color w:val="auto"/>
          <w:szCs w:val="21"/>
        </w:rPr>
      </w:pPr>
      <w:r>
        <w:rPr>
          <w:rFonts w:hint="eastAsia" w:ascii="宋体" w:hAnsi="宋体" w:cs="宋体"/>
          <w:color w:val="auto"/>
          <w:szCs w:val="21"/>
        </w:rPr>
        <w:t>本项目按照最低评标价法确定成交供应商，即在质量和服务均能满足竞价文件实质性响应要求的前提下，以提出最低报价（</w:t>
      </w:r>
      <w:r>
        <w:rPr>
          <w:rFonts w:hint="eastAsia" w:ascii="宋体" w:hAnsi="宋体" w:cs="宋体"/>
          <w:color w:val="auto"/>
          <w:szCs w:val="21"/>
          <w:lang w:eastAsia="zh-TW"/>
        </w:rPr>
        <w:t>指修正及价格扣除后的</w:t>
      </w:r>
      <w:r>
        <w:rPr>
          <w:rFonts w:hint="eastAsia" w:ascii="宋体" w:hAnsi="宋体" w:cs="宋体"/>
          <w:color w:val="auto"/>
          <w:szCs w:val="21"/>
        </w:rPr>
        <w:t>价格，即评标</w:t>
      </w:r>
      <w:r>
        <w:rPr>
          <w:rFonts w:hint="eastAsia" w:ascii="宋体" w:hAnsi="宋体" w:cs="宋体"/>
          <w:color w:val="auto"/>
          <w:szCs w:val="21"/>
          <w:lang w:eastAsia="zh-TW"/>
        </w:rPr>
        <w:t>价</w:t>
      </w:r>
      <w:r>
        <w:rPr>
          <w:rFonts w:hint="eastAsia" w:ascii="宋体" w:hAnsi="宋体" w:cs="宋体"/>
          <w:color w:val="auto"/>
          <w:szCs w:val="21"/>
        </w:rPr>
        <w:t>）的响应供应商作为成交供应商。</w:t>
      </w:r>
      <w:r>
        <w:rPr>
          <w:rFonts w:hint="eastAsia" w:ascii="宋体" w:hAnsi="宋体"/>
          <w:color w:val="auto"/>
          <w:szCs w:val="21"/>
        </w:rPr>
        <w:t>按照</w:t>
      </w:r>
      <w:r>
        <w:rPr>
          <w:rFonts w:hint="eastAsia" w:ascii="宋体" w:hAnsi="宋体" w:cs="宋体"/>
          <w:color w:val="auto"/>
          <w:szCs w:val="21"/>
        </w:rPr>
        <w:t>最后报价</w:t>
      </w:r>
      <w:r>
        <w:rPr>
          <w:rFonts w:hint="eastAsia" w:ascii="宋体" w:hAnsi="宋体"/>
          <w:color w:val="auto"/>
          <w:szCs w:val="21"/>
        </w:rPr>
        <w:t>由低到高的顺序推荐三名成交候选人。本项目各包组可兼投兼中。</w:t>
      </w:r>
    </w:p>
    <w:p>
      <w:pPr>
        <w:numPr>
          <w:ilvl w:val="1"/>
          <w:numId w:val="6"/>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评</w:t>
      </w:r>
      <w:r>
        <w:rPr>
          <w:rFonts w:hint="eastAsia" w:ascii="宋体" w:hAnsi="宋体" w:cs="宋体"/>
          <w:szCs w:val="21"/>
        </w:rPr>
        <w:t>标</w:t>
      </w:r>
      <w:r>
        <w:rPr>
          <w:rFonts w:hint="eastAsia" w:ascii="宋体" w:hAnsi="宋体" w:cs="宋体"/>
          <w:szCs w:val="21"/>
          <w:lang w:eastAsia="zh-TW"/>
        </w:rPr>
        <w:t>价相同的，</w:t>
      </w:r>
      <w:r>
        <w:rPr>
          <w:rFonts w:hint="eastAsia" w:ascii="宋体" w:hAnsi="宋体" w:cs="宋体"/>
          <w:szCs w:val="21"/>
        </w:rPr>
        <w:t>排名</w:t>
      </w:r>
      <w:r>
        <w:rPr>
          <w:rFonts w:hint="eastAsia" w:ascii="宋体" w:hAnsi="宋体" w:cs="宋体"/>
          <w:szCs w:val="21"/>
          <w:lang w:eastAsia="zh-TW"/>
        </w:rPr>
        <w:t>由</w:t>
      </w:r>
      <w:r>
        <w:rPr>
          <w:rFonts w:hint="eastAsia"/>
          <w:szCs w:val="21"/>
        </w:rPr>
        <w:t>竞价评审小组</w:t>
      </w:r>
      <w:r>
        <w:rPr>
          <w:rFonts w:hint="eastAsia" w:ascii="宋体" w:hAnsi="宋体" w:cs="宋体"/>
          <w:szCs w:val="21"/>
          <w:lang w:eastAsia="zh-TW"/>
        </w:rPr>
        <w:t>抽签确定。排名第一的报价供应商为第一成交候选人，排名第二的报价供应商为第二成交候选人，排名第三的报价供应商为第三成交候选人。</w:t>
      </w:r>
    </w:p>
    <w:p>
      <w:pPr>
        <w:numPr>
          <w:ilvl w:val="1"/>
          <w:numId w:val="6"/>
        </w:numPr>
        <w:autoSpaceDE w:val="0"/>
        <w:autoSpaceDN w:val="0"/>
        <w:adjustRightInd w:val="0"/>
        <w:snapToGrid w:val="0"/>
        <w:spacing w:line="360" w:lineRule="auto"/>
        <w:jc w:val="left"/>
        <w:rPr>
          <w:rFonts w:ascii="宋体" w:hAnsi="宋体"/>
          <w:szCs w:val="21"/>
        </w:rPr>
      </w:pPr>
      <w:r>
        <w:rPr>
          <w:rFonts w:hint="eastAsia"/>
          <w:szCs w:val="21"/>
        </w:rPr>
        <w:t>竞价评审小组</w:t>
      </w:r>
      <w:r>
        <w:rPr>
          <w:rFonts w:ascii="宋体" w:hAnsi="宋体" w:cs="宋体"/>
          <w:szCs w:val="21"/>
          <w:lang w:eastAsia="zh-TW"/>
        </w:rPr>
        <w:t>提</w:t>
      </w:r>
      <w:r>
        <w:rPr>
          <w:rFonts w:hint="eastAsia" w:ascii="宋体" w:hAnsi="宋体" w:cs="宋体"/>
          <w:szCs w:val="21"/>
          <w:lang w:eastAsia="zh-TW"/>
        </w:rPr>
        <w:t>交</w:t>
      </w:r>
      <w:r>
        <w:rPr>
          <w:rFonts w:ascii="宋体" w:hAnsi="宋体" w:cs="宋体"/>
          <w:szCs w:val="21"/>
          <w:lang w:eastAsia="zh-TW"/>
        </w:rPr>
        <w:t>评审报告和推荐成交意见报</w:t>
      </w:r>
      <w:r>
        <w:rPr>
          <w:rFonts w:hint="eastAsia" w:ascii="宋体" w:hAnsi="宋体" w:cs="宋体"/>
          <w:szCs w:val="21"/>
          <w:lang w:eastAsia="zh-TW"/>
        </w:rPr>
        <w:t>招标人确认</w:t>
      </w:r>
      <w:r>
        <w:rPr>
          <w:rFonts w:hint="eastAsia" w:ascii="宋体" w:hAnsi="宋体"/>
          <w:szCs w:val="21"/>
        </w:rPr>
        <w:t>，招标人在收到评审报告后的规定时间内，按照评审报告中推荐的成交候选人顺序确定成交供应商，也可以事先授权</w:t>
      </w:r>
      <w:r>
        <w:rPr>
          <w:rFonts w:hint="eastAsia"/>
          <w:szCs w:val="21"/>
        </w:rPr>
        <w:t>竞价评审小组</w:t>
      </w:r>
      <w:r>
        <w:rPr>
          <w:rFonts w:hint="eastAsia" w:ascii="宋体" w:hAnsi="宋体"/>
          <w:szCs w:val="21"/>
        </w:rPr>
        <w:t>直接确定成交供应商。</w:t>
      </w:r>
    </w:p>
    <w:p>
      <w:pPr>
        <w:numPr>
          <w:ilvl w:val="0"/>
          <w:numId w:val="6"/>
        </w:numPr>
        <w:autoSpaceDE w:val="0"/>
        <w:autoSpaceDN w:val="0"/>
        <w:adjustRightInd w:val="0"/>
        <w:snapToGrid w:val="0"/>
        <w:spacing w:line="360" w:lineRule="auto"/>
        <w:rPr>
          <w:rFonts w:ascii="宋体" w:hAnsi="宋体" w:cs="黑体"/>
          <w:b/>
          <w:bCs/>
          <w:szCs w:val="21"/>
          <w:lang w:eastAsia="zh-TW"/>
        </w:rPr>
      </w:pPr>
      <w:bookmarkStart w:id="16" w:name="_Toc381000420"/>
      <w:bookmarkStart w:id="17" w:name="_Toc419125965"/>
      <w:r>
        <w:rPr>
          <w:rFonts w:hint="eastAsia" w:ascii="宋体" w:hAnsi="宋体" w:cs="黑体"/>
          <w:b/>
          <w:bCs/>
          <w:szCs w:val="21"/>
        </w:rPr>
        <w:t>确定</w:t>
      </w:r>
      <w:r>
        <w:rPr>
          <w:rFonts w:hint="eastAsia" w:ascii="宋体" w:hAnsi="宋体" w:cs="黑体"/>
          <w:b/>
          <w:bCs/>
          <w:szCs w:val="21"/>
          <w:lang w:eastAsia="zh-TW"/>
        </w:rPr>
        <w:t>成交结果</w:t>
      </w:r>
      <w:bookmarkEnd w:id="16"/>
      <w:bookmarkEnd w:id="17"/>
    </w:p>
    <w:p>
      <w:pPr>
        <w:numPr>
          <w:ilvl w:val="1"/>
          <w:numId w:val="6"/>
        </w:numPr>
        <w:autoSpaceDE w:val="0"/>
        <w:autoSpaceDN w:val="0"/>
        <w:adjustRightInd w:val="0"/>
        <w:snapToGrid w:val="0"/>
        <w:spacing w:line="360" w:lineRule="auto"/>
        <w:jc w:val="left"/>
        <w:rPr>
          <w:rFonts w:ascii="宋体" w:hAnsi="宋体"/>
          <w:szCs w:val="21"/>
        </w:rPr>
      </w:pPr>
      <w:r>
        <w:rPr>
          <w:rFonts w:hint="eastAsia" w:ascii="宋体" w:hAnsi="宋体"/>
          <w:szCs w:val="21"/>
        </w:rPr>
        <w:t>成交供应商确定后，招标代理机构将在</w:t>
      </w:r>
      <w:r>
        <w:rPr>
          <w:rFonts w:hint="eastAsia" w:ascii="宋体" w:hAnsi="宋体" w:cs="宋体"/>
          <w:szCs w:val="21"/>
        </w:rPr>
        <w:t>发布招标采购信息公告</w:t>
      </w:r>
      <w:r>
        <w:rPr>
          <w:rFonts w:hint="eastAsia" w:ascii="宋体" w:hAnsi="宋体"/>
          <w:szCs w:val="21"/>
        </w:rPr>
        <w:t>的媒体上</w:t>
      </w:r>
      <w:r>
        <w:rPr>
          <w:rFonts w:ascii="宋体" w:hAnsi="宋体"/>
          <w:szCs w:val="21"/>
        </w:rPr>
        <w:t>发</w:t>
      </w:r>
      <w:r>
        <w:rPr>
          <w:rFonts w:hint="eastAsia" w:ascii="宋体" w:hAnsi="宋体"/>
          <w:szCs w:val="21"/>
        </w:rPr>
        <w:t>布成交结果公告。不在成交名单之列者即为未</w:t>
      </w:r>
      <w:r>
        <w:rPr>
          <w:rFonts w:hint="eastAsia" w:ascii="宋体" w:hAnsi="宋体" w:cs="宋体"/>
          <w:szCs w:val="21"/>
        </w:rPr>
        <w:t>成交供应商</w:t>
      </w:r>
      <w:r>
        <w:rPr>
          <w:rFonts w:hint="eastAsia" w:ascii="宋体" w:hAnsi="宋体"/>
          <w:szCs w:val="21"/>
        </w:rPr>
        <w:t>，招标代理机构不再以其他方式另行通知。</w:t>
      </w:r>
    </w:p>
    <w:p>
      <w:pPr>
        <w:numPr>
          <w:ilvl w:val="1"/>
          <w:numId w:val="6"/>
        </w:numPr>
        <w:autoSpaceDE w:val="0"/>
        <w:autoSpaceDN w:val="0"/>
        <w:adjustRightInd w:val="0"/>
        <w:snapToGrid w:val="0"/>
        <w:spacing w:line="360" w:lineRule="auto"/>
        <w:jc w:val="left"/>
        <w:rPr>
          <w:rFonts w:ascii="宋体" w:hAnsi="宋体"/>
          <w:szCs w:val="21"/>
        </w:rPr>
      </w:pPr>
      <w:r>
        <w:rPr>
          <w:rFonts w:hint="eastAsia" w:ascii="宋体" w:hAnsi="宋体"/>
          <w:szCs w:val="21"/>
        </w:rPr>
        <w:t>成交结果公告后，招标代理机构向</w:t>
      </w:r>
      <w:r>
        <w:rPr>
          <w:rFonts w:hint="eastAsia" w:ascii="宋体" w:hAnsi="宋体" w:cs="宋体"/>
          <w:szCs w:val="21"/>
        </w:rPr>
        <w:t>成交供应商</w:t>
      </w:r>
      <w:r>
        <w:rPr>
          <w:rFonts w:hint="eastAsia" w:ascii="宋体" w:hAnsi="宋体"/>
          <w:szCs w:val="21"/>
        </w:rPr>
        <w:t>发出《成交通知书》，向招标人及未成交供应商发出《成交结果通知书》，《成交通知书》对</w:t>
      </w:r>
      <w:r>
        <w:rPr>
          <w:rFonts w:hint="eastAsia" w:ascii="宋体" w:hAnsi="宋体" w:cs="宋体"/>
          <w:szCs w:val="21"/>
        </w:rPr>
        <w:t>成交供应商</w:t>
      </w:r>
      <w:r>
        <w:rPr>
          <w:rFonts w:hint="eastAsia" w:ascii="宋体" w:hAnsi="宋体"/>
          <w:szCs w:val="21"/>
        </w:rPr>
        <w:t>和招标人具有同等法律效力。</w:t>
      </w:r>
    </w:p>
    <w:bookmarkEnd w:id="13"/>
    <w:bookmarkEnd w:id="14"/>
    <w:bookmarkEnd w:id="15"/>
    <w:p>
      <w:pPr>
        <w:numPr>
          <w:ilvl w:val="0"/>
          <w:numId w:val="6"/>
        </w:numPr>
        <w:autoSpaceDE w:val="0"/>
        <w:autoSpaceDN w:val="0"/>
        <w:adjustRightInd w:val="0"/>
        <w:snapToGrid w:val="0"/>
        <w:spacing w:line="360" w:lineRule="auto"/>
        <w:ind w:right="315" w:rightChars="150"/>
        <w:rPr>
          <w:rFonts w:ascii="宋体" w:hAnsi="宋体"/>
          <w:b/>
          <w:bCs/>
          <w:szCs w:val="21"/>
        </w:rPr>
      </w:pPr>
      <w:bookmarkStart w:id="18" w:name="_Toc423350514"/>
      <w:bookmarkStart w:id="19" w:name="_Toc371432376"/>
      <w:bookmarkStart w:id="20" w:name="_Toc457466634"/>
      <w:r>
        <w:rPr>
          <w:rFonts w:hint="eastAsia" w:ascii="宋体" w:hAnsi="宋体"/>
          <w:b/>
          <w:bCs/>
          <w:szCs w:val="21"/>
        </w:rPr>
        <w:t>招标代理服务费</w:t>
      </w:r>
      <w:bookmarkEnd w:id="18"/>
      <w:bookmarkEnd w:id="19"/>
      <w:bookmarkEnd w:id="20"/>
    </w:p>
    <w:p>
      <w:pPr>
        <w:spacing w:line="360" w:lineRule="auto"/>
        <w:rPr>
          <w:rFonts w:ascii="宋体" w:hAnsi="宋体" w:cs="宋体"/>
          <w:b/>
          <w:bCs/>
        </w:rPr>
      </w:pPr>
      <w:r>
        <w:rPr>
          <w:rFonts w:hint="eastAsia" w:ascii="宋体" w:hAnsi="宋体" w:cs="宋体"/>
          <w:b/>
          <w:bCs/>
        </w:rPr>
        <w:t>5.1 成交人须向招标代理机构按如下标准和规定缴纳招标代理服务费：</w:t>
      </w:r>
    </w:p>
    <w:p>
      <w:pPr>
        <w:spacing w:line="360" w:lineRule="auto"/>
        <w:rPr>
          <w:rFonts w:ascii="宋体" w:hAnsi="宋体" w:cs="宋体"/>
          <w:b/>
          <w:bCs/>
          <w:color w:val="auto"/>
        </w:rPr>
      </w:pPr>
      <w:r>
        <w:rPr>
          <w:rFonts w:hint="eastAsia" w:ascii="宋体" w:hAnsi="宋体" w:cs="宋体"/>
          <w:b/>
          <w:bCs/>
          <w:color w:val="auto"/>
        </w:rPr>
        <w:t>（1）本项目包组一成交人向招标代理机构缴纳招标代理服务费：人民币</w:t>
      </w:r>
      <w:r>
        <w:rPr>
          <w:rFonts w:hint="eastAsia" w:ascii="宋体" w:hAnsi="宋体" w:cs="宋体"/>
          <w:b/>
          <w:bCs/>
          <w:color w:val="auto"/>
          <w:lang w:val="en-US" w:eastAsia="zh-CN"/>
        </w:rPr>
        <w:t>500</w:t>
      </w:r>
      <w:r>
        <w:rPr>
          <w:rFonts w:hint="eastAsia" w:ascii="宋体" w:hAnsi="宋体" w:cs="宋体"/>
          <w:b/>
          <w:bCs/>
          <w:color w:val="auto"/>
        </w:rPr>
        <w:t>元。</w:t>
      </w:r>
    </w:p>
    <w:p>
      <w:pPr>
        <w:pStyle w:val="2"/>
        <w:ind w:firstLine="602" w:firstLineChars="300"/>
        <w:rPr>
          <w:rFonts w:ascii="宋体" w:hAnsi="宋体" w:cs="宋体"/>
          <w:b/>
          <w:bCs/>
          <w:color w:val="auto"/>
        </w:rPr>
      </w:pPr>
      <w:r>
        <w:rPr>
          <w:rFonts w:hint="eastAsia" w:ascii="宋体" w:hAnsi="宋体" w:cs="宋体"/>
          <w:b/>
          <w:bCs/>
          <w:color w:val="auto"/>
        </w:rPr>
        <w:t>本项目包组二成交人向招标代理机构缴纳招标代理服务费：人民币100</w:t>
      </w:r>
      <w:r>
        <w:rPr>
          <w:rFonts w:hint="eastAsia" w:ascii="宋体" w:hAnsi="宋体" w:cs="宋体"/>
          <w:b/>
          <w:bCs/>
          <w:color w:val="auto"/>
          <w:lang w:val="en-US" w:eastAsia="zh-CN"/>
        </w:rPr>
        <w:t>0</w:t>
      </w:r>
      <w:r>
        <w:rPr>
          <w:rFonts w:hint="eastAsia" w:ascii="宋体" w:hAnsi="宋体" w:cs="宋体"/>
          <w:b/>
          <w:bCs/>
          <w:color w:val="auto"/>
        </w:rPr>
        <w:t>元。</w:t>
      </w:r>
    </w:p>
    <w:p>
      <w:pPr>
        <w:pStyle w:val="2"/>
        <w:ind w:firstLine="602" w:firstLineChars="300"/>
        <w:rPr>
          <w:rFonts w:ascii="宋体" w:hAnsi="宋体" w:cs="宋体"/>
          <w:b/>
          <w:bCs/>
          <w:color w:val="auto"/>
        </w:rPr>
      </w:pPr>
      <w:r>
        <w:rPr>
          <w:rFonts w:hint="eastAsia" w:ascii="宋体" w:hAnsi="宋体" w:cs="宋体"/>
          <w:b/>
          <w:bCs/>
          <w:color w:val="auto"/>
        </w:rPr>
        <w:t>本项目包组三成交人向招标代理机构缴纳招标代理服务费：人民币1</w:t>
      </w:r>
      <w:r>
        <w:rPr>
          <w:rFonts w:hint="eastAsia" w:ascii="宋体" w:hAnsi="宋体" w:cs="宋体"/>
          <w:b/>
          <w:bCs/>
          <w:color w:val="auto"/>
          <w:lang w:val="en-US" w:eastAsia="zh-CN"/>
        </w:rPr>
        <w:t>0</w:t>
      </w:r>
      <w:r>
        <w:rPr>
          <w:rFonts w:hint="eastAsia" w:ascii="宋体" w:hAnsi="宋体" w:cs="宋体"/>
          <w:b/>
          <w:bCs/>
          <w:color w:val="auto"/>
        </w:rPr>
        <w:t>0</w:t>
      </w:r>
      <w:r>
        <w:rPr>
          <w:rFonts w:hint="eastAsia" w:ascii="宋体" w:hAnsi="宋体" w:cs="宋体"/>
          <w:b/>
          <w:bCs/>
          <w:color w:val="auto"/>
          <w:lang w:val="en-US" w:eastAsia="zh-CN"/>
        </w:rPr>
        <w:t>0</w:t>
      </w:r>
      <w:r>
        <w:rPr>
          <w:rFonts w:hint="eastAsia" w:ascii="宋体" w:hAnsi="宋体" w:cs="宋体"/>
          <w:b/>
          <w:bCs/>
          <w:color w:val="auto"/>
        </w:rPr>
        <w:t>元。</w:t>
      </w:r>
    </w:p>
    <w:p>
      <w:pPr>
        <w:pStyle w:val="2"/>
        <w:ind w:firstLine="602" w:firstLineChars="300"/>
        <w:rPr>
          <w:rFonts w:ascii="宋体" w:hAnsi="宋体" w:cs="宋体"/>
          <w:b/>
          <w:bCs/>
          <w:color w:val="auto"/>
        </w:rPr>
      </w:pPr>
      <w:r>
        <w:rPr>
          <w:rFonts w:hint="eastAsia" w:ascii="宋体" w:hAnsi="宋体" w:cs="宋体"/>
          <w:b/>
          <w:bCs/>
          <w:color w:val="auto"/>
        </w:rPr>
        <w:t>本项目包组是成交人向招标代理机构缴纳招标代理服务费：人民币4</w:t>
      </w:r>
      <w:r>
        <w:rPr>
          <w:rFonts w:hint="eastAsia" w:ascii="宋体" w:hAnsi="宋体" w:cs="宋体"/>
          <w:b/>
          <w:bCs/>
          <w:color w:val="auto"/>
          <w:lang w:val="en-US" w:eastAsia="zh-CN"/>
        </w:rPr>
        <w:t>5</w:t>
      </w:r>
      <w:r>
        <w:rPr>
          <w:rFonts w:hint="eastAsia" w:ascii="宋体" w:hAnsi="宋体" w:cs="宋体"/>
          <w:b/>
          <w:bCs/>
          <w:color w:val="auto"/>
        </w:rPr>
        <w:t>0</w:t>
      </w:r>
      <w:r>
        <w:rPr>
          <w:rFonts w:hint="eastAsia" w:ascii="宋体" w:hAnsi="宋体" w:cs="宋体"/>
          <w:b/>
          <w:bCs/>
          <w:color w:val="auto"/>
          <w:lang w:val="en-US" w:eastAsia="zh-CN"/>
        </w:rPr>
        <w:t>0</w:t>
      </w:r>
      <w:r>
        <w:rPr>
          <w:rFonts w:hint="eastAsia" w:ascii="宋体" w:hAnsi="宋体" w:cs="宋体"/>
          <w:b/>
          <w:bCs/>
          <w:color w:val="auto"/>
        </w:rPr>
        <w:t>元。</w:t>
      </w:r>
    </w:p>
    <w:p>
      <w:pPr>
        <w:spacing w:line="360" w:lineRule="auto"/>
        <w:rPr>
          <w:rFonts w:ascii="宋体" w:hAnsi="宋体" w:cs="宋体"/>
          <w:b/>
          <w:bCs/>
        </w:rPr>
      </w:pPr>
      <w:r>
        <w:rPr>
          <w:rFonts w:hint="eastAsia" w:ascii="宋体" w:hAnsi="宋体" w:cs="宋体"/>
          <w:b/>
          <w:bCs/>
        </w:rPr>
        <w:t>（2）招标代理服务费的缴纳形式：</w:t>
      </w:r>
    </w:p>
    <w:p>
      <w:pPr>
        <w:spacing w:line="360" w:lineRule="auto"/>
        <w:ind w:firstLine="422" w:firstLineChars="200"/>
        <w:rPr>
          <w:rFonts w:ascii="宋体" w:hAnsi="宋体" w:cs="宋体"/>
          <w:b/>
          <w:bCs/>
        </w:rPr>
      </w:pPr>
      <w:r>
        <w:rPr>
          <w:rFonts w:hint="eastAsia" w:ascii="宋体" w:hAnsi="宋体" w:cs="宋体"/>
          <w:b/>
          <w:bCs/>
        </w:rPr>
        <w:t xml:space="preserve">a. 向招标代理机构直接缴纳招标代理服务费。可用支票、汇票、电汇等付款方式； </w:t>
      </w:r>
    </w:p>
    <w:p>
      <w:pPr>
        <w:spacing w:line="360" w:lineRule="auto"/>
        <w:ind w:firstLine="422" w:firstLineChars="200"/>
        <w:rPr>
          <w:rFonts w:ascii="宋体" w:hAnsi="宋体" w:cs="宋体"/>
          <w:b/>
          <w:bCs/>
        </w:rPr>
      </w:pPr>
      <w:r>
        <w:rPr>
          <w:rFonts w:hint="eastAsia" w:ascii="宋体" w:hAnsi="宋体" w:cs="宋体"/>
          <w:b/>
          <w:bCs/>
        </w:rPr>
        <w:t>b. 招标代理服务费付至：</w:t>
      </w:r>
    </w:p>
    <w:p>
      <w:pPr>
        <w:spacing w:line="360" w:lineRule="auto"/>
        <w:ind w:firstLine="843" w:firstLineChars="400"/>
        <w:rPr>
          <w:rFonts w:ascii="宋体" w:hAnsi="宋体" w:cs="宋体"/>
          <w:b/>
          <w:bCs/>
        </w:rPr>
      </w:pPr>
      <w:r>
        <w:rPr>
          <w:rFonts w:hint="eastAsia" w:ascii="宋体" w:hAnsi="宋体" w:cs="宋体"/>
          <w:b/>
          <w:bCs/>
        </w:rPr>
        <w:t>收款人名称：广东秤风采购招标有限公司</w:t>
      </w:r>
    </w:p>
    <w:p>
      <w:pPr>
        <w:spacing w:line="360" w:lineRule="auto"/>
        <w:ind w:firstLine="843" w:firstLineChars="400"/>
        <w:rPr>
          <w:rFonts w:ascii="宋体" w:hAnsi="宋体" w:cs="宋体"/>
          <w:b/>
          <w:bCs/>
        </w:rPr>
      </w:pPr>
      <w:r>
        <w:rPr>
          <w:rFonts w:hint="eastAsia" w:ascii="宋体" w:hAnsi="宋体" w:cs="宋体"/>
          <w:b/>
          <w:bCs/>
        </w:rPr>
        <w:t>账号：44001551505053006976</w:t>
      </w:r>
    </w:p>
    <w:p>
      <w:pPr>
        <w:spacing w:line="360" w:lineRule="auto"/>
        <w:ind w:firstLine="843" w:firstLineChars="400"/>
        <w:rPr>
          <w:rFonts w:ascii="宋体" w:hAnsi="宋体" w:cs="宋体"/>
          <w:b/>
          <w:bCs/>
        </w:rPr>
      </w:pPr>
      <w:r>
        <w:rPr>
          <w:rFonts w:hint="eastAsia" w:ascii="宋体" w:hAnsi="宋体" w:cs="宋体"/>
          <w:b/>
          <w:bCs/>
        </w:rPr>
        <w:t>银行：中国建设银行股份有限公司广州市绿色金融改革创新试验区花都分行</w:t>
      </w:r>
    </w:p>
    <w:p>
      <w:pPr>
        <w:spacing w:line="360" w:lineRule="auto"/>
        <w:rPr>
          <w:rFonts w:ascii="宋体" w:hAnsi="宋体" w:cs="宋体"/>
        </w:rPr>
      </w:pPr>
      <w:r>
        <w:rPr>
          <w:rFonts w:hint="eastAsia" w:ascii="宋体" w:hAnsi="宋体" w:cs="宋体"/>
        </w:rPr>
        <w:t>5.2 响应供应商应签署所附格式的招标代理服务费承诺书，作为报价文件的一部分。</w:t>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r>
        <w:rPr>
          <w:rFonts w:ascii="宋体" w:hAnsi="宋体"/>
          <w:b/>
          <w:color w:val="FF0000"/>
          <w:sz w:val="36"/>
          <w:szCs w:val="36"/>
        </w:rPr>
        <w:br w:type="page"/>
      </w:r>
    </w:p>
    <w:p>
      <w:pPr>
        <w:pStyle w:val="41"/>
        <w:ind w:firstLine="723"/>
        <w:rPr>
          <w:rFonts w:ascii="宋体" w:hAnsi="宋体"/>
          <w:b/>
          <w:color w:val="FF0000"/>
          <w:sz w:val="36"/>
          <w:szCs w:val="36"/>
        </w:rPr>
      </w:pPr>
    </w:p>
    <w:p>
      <w:pPr>
        <w:pStyle w:val="41"/>
        <w:ind w:firstLine="723"/>
        <w:rPr>
          <w:rFonts w:ascii="宋体" w:hAnsi="宋体"/>
          <w:b/>
          <w:color w:val="FF0000"/>
          <w:sz w:val="36"/>
          <w:szCs w:val="36"/>
        </w:rPr>
      </w:pPr>
    </w:p>
    <w:p>
      <w:pPr>
        <w:pStyle w:val="41"/>
        <w:ind w:firstLine="723"/>
        <w:rPr>
          <w:rFonts w:ascii="宋体" w:hAnsi="宋体"/>
          <w:b/>
          <w:color w:val="FF0000"/>
          <w:sz w:val="36"/>
          <w:szCs w:val="36"/>
        </w:rPr>
      </w:pPr>
    </w:p>
    <w:p>
      <w:pPr>
        <w:pStyle w:val="41"/>
        <w:ind w:firstLine="723"/>
        <w:rPr>
          <w:rFonts w:ascii="宋体" w:hAnsi="宋体"/>
          <w:b/>
          <w:color w:val="FF0000"/>
          <w:sz w:val="36"/>
          <w:szCs w:val="36"/>
        </w:rPr>
      </w:pPr>
    </w:p>
    <w:p>
      <w:pPr>
        <w:pStyle w:val="41"/>
        <w:ind w:firstLine="723"/>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FF0000"/>
          <w:sz w:val="36"/>
          <w:szCs w:val="36"/>
        </w:rPr>
      </w:pPr>
    </w:p>
    <w:p>
      <w:pPr>
        <w:numPr>
          <w:ilvl w:val="0"/>
          <w:numId w:val="2"/>
        </w:numPr>
        <w:tabs>
          <w:tab w:val="left" w:pos="1843"/>
        </w:tabs>
        <w:jc w:val="center"/>
        <w:outlineLvl w:val="0"/>
        <w:rPr>
          <w:b/>
          <w:sz w:val="50"/>
          <w:szCs w:val="50"/>
        </w:rPr>
      </w:pPr>
      <w:bookmarkStart w:id="21" w:name="_Toc423350516"/>
      <w:bookmarkStart w:id="22" w:name="_Toc457466638"/>
      <w:bookmarkStart w:id="23" w:name="_Toc19037"/>
      <w:r>
        <w:rPr>
          <w:rFonts w:hint="eastAsia"/>
          <w:b/>
          <w:sz w:val="50"/>
          <w:szCs w:val="50"/>
        </w:rPr>
        <w:t>用户需求书</w:t>
      </w:r>
      <w:bookmarkEnd w:id="21"/>
      <w:bookmarkEnd w:id="22"/>
      <w:bookmarkEnd w:id="23"/>
    </w:p>
    <w:p>
      <w:pPr>
        <w:widowControl/>
        <w:jc w:val="center"/>
        <w:rPr>
          <w:rFonts w:ascii="宋体" w:hAnsi="宋体"/>
          <w:b/>
          <w:bCs/>
          <w:sz w:val="36"/>
          <w:szCs w:val="36"/>
        </w:rPr>
      </w:pPr>
      <w:r>
        <w:rPr>
          <w:b/>
          <w:sz w:val="50"/>
          <w:szCs w:val="50"/>
        </w:rPr>
        <w:br w:type="page"/>
      </w:r>
      <w:r>
        <w:rPr>
          <w:rFonts w:ascii="宋体" w:hAnsi="宋体"/>
          <w:b/>
          <w:bCs/>
          <w:sz w:val="36"/>
          <w:szCs w:val="36"/>
        </w:rPr>
        <w:t>用户需求书</w:t>
      </w:r>
    </w:p>
    <w:p>
      <w:pPr>
        <w:adjustRightInd w:val="0"/>
        <w:snapToGrid w:val="0"/>
        <w:spacing w:line="360" w:lineRule="auto"/>
        <w:ind w:left="517" w:right="315" w:rightChars="150" w:hanging="517" w:hangingChars="245"/>
        <w:rPr>
          <w:rFonts w:ascii="宋体"/>
          <w:b/>
          <w:bCs/>
          <w:szCs w:val="20"/>
        </w:rPr>
      </w:pPr>
      <w:r>
        <w:rPr>
          <w:rFonts w:hint="eastAsia" w:ascii="宋体"/>
          <w:b/>
          <w:bCs/>
          <w:szCs w:val="20"/>
        </w:rPr>
        <w:t>说明：</w:t>
      </w:r>
    </w:p>
    <w:p>
      <w:pPr>
        <w:numPr>
          <w:ilvl w:val="0"/>
          <w:numId w:val="8"/>
        </w:numPr>
        <w:adjustRightInd w:val="0"/>
        <w:snapToGrid w:val="0"/>
        <w:spacing w:line="360" w:lineRule="auto"/>
        <w:rPr>
          <w:rFonts w:ascii="宋体"/>
          <w:b/>
          <w:bCs/>
          <w:szCs w:val="20"/>
        </w:rPr>
      </w:pPr>
      <w:r>
        <w:rPr>
          <w:rFonts w:hint="eastAsia" w:ascii="宋体"/>
          <w:b/>
          <w:bCs/>
          <w:szCs w:val="20"/>
        </w:rPr>
        <w:t xml:space="preserve">响应供应商须对本项目以包组为单位的货物及服务进行整体响应，任何只对包组内其中一部分内容进行的响应都被视为无效响应。 </w:t>
      </w:r>
    </w:p>
    <w:p>
      <w:pPr>
        <w:pStyle w:val="11"/>
        <w:tabs>
          <w:tab w:val="left" w:pos="540"/>
        </w:tabs>
        <w:autoSpaceDE/>
        <w:autoSpaceDN/>
        <w:snapToGrid w:val="0"/>
        <w:spacing w:line="360" w:lineRule="auto"/>
        <w:jc w:val="both"/>
        <w:rPr>
          <w:rFonts w:hAnsi="宋体"/>
          <w:b/>
          <w:sz w:val="21"/>
          <w:szCs w:val="21"/>
        </w:rPr>
      </w:pPr>
      <w:r>
        <w:rPr>
          <w:rFonts w:hint="eastAsia" w:hAnsi="宋体"/>
          <w:b/>
          <w:sz w:val="21"/>
          <w:szCs w:val="21"/>
        </w:rPr>
        <w:t>2.用户需求书中打“★”号条款为实质性条款，响应供应商如有任何一条负偏离则导致投标无效。</w:t>
      </w:r>
    </w:p>
    <w:p>
      <w:pPr>
        <w:jc w:val="center"/>
        <w:rPr>
          <w:b/>
          <w:bCs/>
          <w:sz w:val="28"/>
          <w:szCs w:val="28"/>
        </w:rPr>
      </w:pPr>
      <w:r>
        <w:rPr>
          <w:rFonts w:hint="eastAsia"/>
          <w:b/>
          <w:bCs/>
          <w:sz w:val="28"/>
          <w:szCs w:val="28"/>
        </w:rPr>
        <w:t>包组一：危险化学品使用储存场所安全现状评价、职业病危害因素检测</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4"/>
        <w:gridCol w:w="2880"/>
        <w:gridCol w:w="746"/>
        <w:gridCol w:w="2567"/>
        <w:gridCol w:w="17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52" w:hRule="atLeast"/>
          <w:jc w:val="center"/>
        </w:trPr>
        <w:tc>
          <w:tcPr>
            <w:tcW w:w="944"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包组号</w:t>
            </w:r>
          </w:p>
        </w:tc>
        <w:tc>
          <w:tcPr>
            <w:tcW w:w="2880"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采购内容</w:t>
            </w:r>
          </w:p>
        </w:tc>
        <w:tc>
          <w:tcPr>
            <w:tcW w:w="746"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数量</w:t>
            </w:r>
          </w:p>
        </w:tc>
        <w:tc>
          <w:tcPr>
            <w:tcW w:w="2567"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服务期限</w:t>
            </w:r>
          </w:p>
        </w:tc>
        <w:tc>
          <w:tcPr>
            <w:tcW w:w="1761" w:type="dxa"/>
            <w:shd w:val="clear" w:color="auto" w:fill="EEECE1"/>
            <w:noWrap/>
            <w:vAlign w:val="center"/>
          </w:tcPr>
          <w:p>
            <w:pPr>
              <w:jc w:val="center"/>
              <w:rPr>
                <w:rFonts w:ascii="宋体" w:hAnsi="宋体" w:cs="宋体"/>
                <w:b/>
                <w:color w:val="auto"/>
                <w:szCs w:val="21"/>
              </w:rPr>
            </w:pPr>
            <w:r>
              <w:rPr>
                <w:rFonts w:hint="eastAsia" w:ascii="宋体" w:hAnsi="宋体" w:cs="宋体"/>
                <w:b/>
                <w:color w:val="auto"/>
                <w:szCs w:val="21"/>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6" w:hRule="atLeast"/>
          <w:jc w:val="center"/>
        </w:trPr>
        <w:tc>
          <w:tcPr>
            <w:tcW w:w="944" w:type="dxa"/>
            <w:vMerge w:val="restart"/>
            <w:noWrap/>
            <w:vAlign w:val="center"/>
          </w:tcPr>
          <w:p>
            <w:pPr>
              <w:jc w:val="center"/>
              <w:rPr>
                <w:rFonts w:ascii="宋体" w:hAnsi="宋体" w:cs="宋体"/>
                <w:bCs/>
                <w:color w:val="auto"/>
                <w:szCs w:val="21"/>
              </w:rPr>
            </w:pPr>
            <w:r>
              <w:rPr>
                <w:rFonts w:hint="eastAsia" w:ascii="宋体" w:hAnsi="宋体" w:cs="宋体"/>
                <w:bCs/>
                <w:color w:val="auto"/>
                <w:szCs w:val="21"/>
              </w:rPr>
              <w:t>包组一</w:t>
            </w:r>
          </w:p>
        </w:tc>
        <w:tc>
          <w:tcPr>
            <w:tcW w:w="2880" w:type="dxa"/>
            <w:noWrap/>
            <w:vAlign w:val="center"/>
          </w:tcPr>
          <w:p>
            <w:pPr>
              <w:jc w:val="center"/>
              <w:rPr>
                <w:rFonts w:ascii="宋体" w:hAnsi="宋体" w:cs="宋体"/>
                <w:bCs/>
                <w:color w:val="auto"/>
                <w:szCs w:val="21"/>
              </w:rPr>
            </w:pPr>
            <w:r>
              <w:rPr>
                <w:rFonts w:hint="eastAsia" w:ascii="宋体" w:hAnsi="宋体" w:cs="宋体"/>
                <w:bCs/>
                <w:color w:val="auto"/>
                <w:szCs w:val="21"/>
              </w:rPr>
              <w:t>危险化学品使用储存场所安全现状评价和安全技术服务</w:t>
            </w:r>
          </w:p>
        </w:tc>
        <w:tc>
          <w:tcPr>
            <w:tcW w:w="746" w:type="dxa"/>
            <w:noWrap/>
            <w:vAlign w:val="center"/>
          </w:tcPr>
          <w:p>
            <w:pPr>
              <w:jc w:val="center"/>
              <w:rPr>
                <w:rFonts w:ascii="宋体" w:hAnsi="宋体" w:cs="宋体"/>
                <w:color w:val="auto"/>
              </w:rPr>
            </w:pPr>
            <w:r>
              <w:rPr>
                <w:rFonts w:hint="eastAsia" w:ascii="宋体" w:hAnsi="宋体" w:cs="宋体"/>
                <w:color w:val="auto"/>
              </w:rPr>
              <w:t>1项</w:t>
            </w:r>
          </w:p>
        </w:tc>
        <w:tc>
          <w:tcPr>
            <w:tcW w:w="2567" w:type="dxa"/>
            <w:vMerge w:val="restart"/>
            <w:noWrap/>
            <w:vAlign w:val="center"/>
          </w:tcPr>
          <w:p>
            <w:pPr>
              <w:pStyle w:val="46"/>
              <w:spacing w:line="240" w:lineRule="auto"/>
              <w:rPr>
                <w:rFonts w:ascii="宋体" w:hAnsi="宋体" w:cs="宋体"/>
                <w:snapToGrid/>
                <w:color w:val="auto"/>
                <w:spacing w:val="0"/>
                <w:kern w:val="2"/>
                <w:sz w:val="21"/>
                <w:szCs w:val="21"/>
              </w:rPr>
            </w:pPr>
            <w:r>
              <w:rPr>
                <w:rFonts w:hint="eastAsia" w:ascii="宋体" w:hAnsi="宋体" w:cs="宋体"/>
                <w:snapToGrid/>
                <w:color w:val="auto"/>
                <w:spacing w:val="0"/>
                <w:kern w:val="2"/>
                <w:sz w:val="21"/>
                <w:szCs w:val="21"/>
              </w:rPr>
              <w:t>自合同签订之日起30个工作日内完成</w:t>
            </w:r>
          </w:p>
        </w:tc>
        <w:tc>
          <w:tcPr>
            <w:tcW w:w="1761" w:type="dxa"/>
            <w:vMerge w:val="restart"/>
            <w:noWrap/>
            <w:vAlign w:val="center"/>
          </w:tcPr>
          <w:p>
            <w:pPr>
              <w:jc w:val="center"/>
              <w:rPr>
                <w:rFonts w:ascii="宋体" w:hAnsi="宋体" w:cs="宋体"/>
                <w:color w:val="auto"/>
              </w:rPr>
            </w:pPr>
            <w:r>
              <w:rPr>
                <w:rFonts w:hint="eastAsia" w:ascii="宋体" w:hAnsi="宋体" w:cs="宋体"/>
                <w:color w:val="auto"/>
              </w:rPr>
              <w:t>人民币3.38万元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944" w:type="dxa"/>
            <w:vMerge w:val="continue"/>
            <w:noWrap/>
            <w:vAlign w:val="center"/>
          </w:tcPr>
          <w:p>
            <w:pPr>
              <w:jc w:val="center"/>
              <w:rPr>
                <w:rFonts w:ascii="宋体" w:hAnsi="宋体" w:cs="宋体"/>
                <w:bCs/>
                <w:color w:val="auto"/>
                <w:szCs w:val="21"/>
              </w:rPr>
            </w:pPr>
          </w:p>
        </w:tc>
        <w:tc>
          <w:tcPr>
            <w:tcW w:w="2880" w:type="dxa"/>
            <w:noWrap/>
            <w:vAlign w:val="center"/>
          </w:tcPr>
          <w:p>
            <w:pPr>
              <w:jc w:val="center"/>
              <w:rPr>
                <w:rFonts w:ascii="宋体" w:hAnsi="宋体" w:cs="宋体"/>
                <w:bCs/>
                <w:color w:val="auto"/>
                <w:szCs w:val="21"/>
              </w:rPr>
            </w:pPr>
            <w:r>
              <w:rPr>
                <w:rFonts w:hint="eastAsia" w:ascii="宋体" w:hAnsi="宋体" w:cs="宋体"/>
                <w:bCs/>
                <w:color w:val="auto"/>
                <w:szCs w:val="21"/>
              </w:rPr>
              <w:t>职业病危害因素检测</w:t>
            </w:r>
          </w:p>
        </w:tc>
        <w:tc>
          <w:tcPr>
            <w:tcW w:w="746" w:type="dxa"/>
            <w:noWrap/>
            <w:vAlign w:val="center"/>
          </w:tcPr>
          <w:p>
            <w:pPr>
              <w:jc w:val="center"/>
              <w:rPr>
                <w:rFonts w:ascii="宋体" w:hAnsi="宋体" w:cs="宋体"/>
                <w:color w:val="auto"/>
              </w:rPr>
            </w:pPr>
            <w:r>
              <w:rPr>
                <w:rFonts w:hint="eastAsia" w:ascii="宋体" w:hAnsi="宋体" w:cs="宋体"/>
                <w:color w:val="auto"/>
              </w:rPr>
              <w:t>1项</w:t>
            </w:r>
          </w:p>
        </w:tc>
        <w:tc>
          <w:tcPr>
            <w:tcW w:w="2567" w:type="dxa"/>
            <w:vMerge w:val="continue"/>
            <w:noWrap/>
            <w:vAlign w:val="center"/>
          </w:tcPr>
          <w:p>
            <w:pPr>
              <w:pStyle w:val="46"/>
              <w:spacing w:line="240" w:lineRule="auto"/>
              <w:rPr>
                <w:rFonts w:ascii="宋体" w:hAnsi="宋体" w:cs="宋体"/>
                <w:snapToGrid/>
                <w:color w:val="auto"/>
                <w:spacing w:val="0"/>
                <w:kern w:val="2"/>
                <w:sz w:val="21"/>
                <w:szCs w:val="21"/>
              </w:rPr>
            </w:pPr>
          </w:p>
        </w:tc>
        <w:tc>
          <w:tcPr>
            <w:tcW w:w="1761" w:type="dxa"/>
            <w:vMerge w:val="continue"/>
            <w:noWrap/>
            <w:vAlign w:val="center"/>
          </w:tcPr>
          <w:p>
            <w:pPr>
              <w:jc w:val="center"/>
              <w:rPr>
                <w:rFonts w:ascii="宋体" w:hAnsi="宋体" w:cs="宋体"/>
                <w:color w:val="auto"/>
              </w:rPr>
            </w:pPr>
          </w:p>
        </w:tc>
      </w:tr>
    </w:tbl>
    <w:p>
      <w:pPr>
        <w:pStyle w:val="30"/>
        <w:spacing w:line="360" w:lineRule="auto"/>
        <w:rPr>
          <w:rFonts w:ascii="宋体" w:hAnsi="宋体" w:cs="宋体"/>
          <w:sz w:val="18"/>
          <w:szCs w:val="16"/>
        </w:rPr>
      </w:pPr>
    </w:p>
    <w:p>
      <w:pPr>
        <w:pStyle w:val="30"/>
        <w:spacing w:line="360" w:lineRule="auto"/>
        <w:rPr>
          <w:rFonts w:ascii="宋体" w:hAnsi="宋体" w:cs="宋体"/>
          <w:b/>
          <w:bCs w:val="0"/>
          <w:sz w:val="21"/>
          <w:szCs w:val="20"/>
        </w:rPr>
      </w:pPr>
      <w:r>
        <w:rPr>
          <w:rFonts w:hint="eastAsia" w:ascii="宋体" w:hAnsi="宋体" w:cs="宋体"/>
          <w:b/>
          <w:bCs w:val="0"/>
          <w:sz w:val="21"/>
          <w:szCs w:val="20"/>
        </w:rPr>
        <w:t>一、危险化学品使用储存场所安全现状评价和安全技术服务总体要求</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1.1项目背景</w:t>
      </w:r>
    </w:p>
    <w:p>
      <w:pPr>
        <w:spacing w:line="360" w:lineRule="auto"/>
        <w:ind w:firstLine="420" w:firstLineChars="200"/>
        <w:rPr>
          <w:rFonts w:ascii="宋体" w:hAnsi="宋体" w:cs="宋体"/>
        </w:rPr>
      </w:pPr>
      <w:r>
        <w:rPr>
          <w:rFonts w:hint="eastAsia" w:ascii="宋体" w:hAnsi="宋体" w:cs="宋体"/>
        </w:rPr>
        <w:t>依据《中华人民共和国安全生产法》、《生产安全事故报告和调查处理条例》（国务院令第493号）、《广东省安全生产条例》（广东省第十二届人民代表大会常务委员会公告第94号）及国家和地方的有关法律法规、规范标准要求，为企业生产场所进行辨识与分析生产经营活动中存在的危险、有害因素，审查确定其与安全生产法律法规、规章、标准、规范要求的符合性，预测发生事故或造成职业危害的可能性及其严重程度，提出科学、合理、可行的安全对策措施建议，做出安全现状评价结论，进一步提高企业的安全管理水平。</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1.2文件依据</w:t>
      </w:r>
    </w:p>
    <w:p>
      <w:pPr>
        <w:spacing w:line="360" w:lineRule="auto"/>
        <w:ind w:firstLine="420" w:firstLineChars="200"/>
        <w:rPr>
          <w:rFonts w:ascii="宋体" w:hAnsi="宋体" w:cs="宋体"/>
        </w:rPr>
      </w:pPr>
      <w:r>
        <w:rPr>
          <w:rFonts w:hint="eastAsia" w:ascii="宋体" w:hAnsi="宋体" w:cs="宋体"/>
        </w:rPr>
        <w:t>1)《中华人民共和国安全生产法》（2021年修正本）</w:t>
      </w:r>
    </w:p>
    <w:p>
      <w:pPr>
        <w:spacing w:line="360" w:lineRule="auto"/>
        <w:ind w:firstLine="420" w:firstLineChars="200"/>
        <w:rPr>
          <w:rFonts w:ascii="宋体" w:hAnsi="宋体" w:cs="宋体"/>
        </w:rPr>
      </w:pPr>
      <w:r>
        <w:rPr>
          <w:rFonts w:hint="eastAsia" w:ascii="宋体" w:hAnsi="宋体" w:cs="宋体"/>
        </w:rPr>
        <w:t>2)《中华人民共和国消防法》（2021年修正本）</w:t>
      </w:r>
    </w:p>
    <w:p>
      <w:pPr>
        <w:spacing w:line="360" w:lineRule="auto"/>
        <w:ind w:firstLine="420" w:firstLineChars="200"/>
        <w:rPr>
          <w:rFonts w:ascii="宋体" w:hAnsi="宋体" w:cs="宋体"/>
        </w:rPr>
      </w:pPr>
      <w:r>
        <w:rPr>
          <w:rFonts w:hint="eastAsia" w:ascii="宋体" w:hAnsi="宋体" w:cs="宋体"/>
        </w:rPr>
        <w:t>3)《中华人民共和国职业病防治法》（2018年修正本）</w:t>
      </w:r>
    </w:p>
    <w:p>
      <w:pPr>
        <w:spacing w:line="360" w:lineRule="auto"/>
        <w:ind w:firstLine="420" w:firstLineChars="200"/>
        <w:rPr>
          <w:rFonts w:ascii="宋体" w:hAnsi="宋体" w:cs="宋体"/>
        </w:rPr>
      </w:pPr>
      <w:r>
        <w:rPr>
          <w:rFonts w:hint="eastAsia" w:ascii="宋体" w:hAnsi="宋体" w:cs="宋体"/>
        </w:rPr>
        <w:t>4)《建设项目安全设施“三同时”监督管理办法》（中华人民共和国国家安全监管总局令第77号）</w:t>
      </w:r>
    </w:p>
    <w:p>
      <w:pPr>
        <w:spacing w:line="360" w:lineRule="auto"/>
        <w:ind w:firstLine="420" w:firstLineChars="200"/>
        <w:rPr>
          <w:rFonts w:ascii="宋体" w:hAnsi="宋体" w:cs="宋体"/>
        </w:rPr>
      </w:pPr>
      <w:r>
        <w:rPr>
          <w:rFonts w:hint="eastAsia" w:ascii="宋体" w:hAnsi="宋体" w:cs="宋体"/>
        </w:rPr>
        <w:t>5)《广东省安全生产条例》（2017年修正本）</w:t>
      </w:r>
    </w:p>
    <w:p>
      <w:pPr>
        <w:spacing w:line="360" w:lineRule="auto"/>
        <w:ind w:firstLine="420" w:firstLineChars="200"/>
        <w:rPr>
          <w:rFonts w:ascii="宋体" w:hAnsi="宋体" w:cs="宋体"/>
        </w:rPr>
      </w:pPr>
      <w:r>
        <w:rPr>
          <w:rFonts w:hint="eastAsia" w:ascii="宋体" w:hAnsi="宋体" w:cs="宋体"/>
        </w:rPr>
        <w:t>6)《建筑设计防火规范（2018版）》（GB50016-2014）</w:t>
      </w:r>
    </w:p>
    <w:p>
      <w:pPr>
        <w:spacing w:line="360" w:lineRule="auto"/>
        <w:ind w:firstLine="420" w:firstLineChars="200"/>
        <w:rPr>
          <w:rFonts w:ascii="宋体" w:hAnsi="宋体" w:cs="宋体"/>
        </w:rPr>
      </w:pPr>
      <w:r>
        <w:rPr>
          <w:rFonts w:hint="eastAsia" w:ascii="宋体" w:hAnsi="宋体" w:cs="宋体"/>
        </w:rPr>
        <w:t>7)《建筑物防雷设计规范》（GB50057-2010）</w:t>
      </w:r>
    </w:p>
    <w:p>
      <w:pPr>
        <w:spacing w:line="360" w:lineRule="auto"/>
        <w:ind w:firstLine="420" w:firstLineChars="200"/>
        <w:rPr>
          <w:rFonts w:ascii="宋体" w:hAnsi="宋体" w:cs="宋体"/>
        </w:rPr>
      </w:pPr>
      <w:r>
        <w:rPr>
          <w:rFonts w:hint="eastAsia" w:ascii="宋体" w:hAnsi="宋体" w:cs="宋体"/>
        </w:rPr>
        <w:t>8)《建筑抗震设计规范（2016年版）》（GB50011-2010）</w:t>
      </w:r>
    </w:p>
    <w:p>
      <w:pPr>
        <w:spacing w:line="360" w:lineRule="auto"/>
        <w:ind w:firstLine="420" w:firstLineChars="200"/>
        <w:rPr>
          <w:rFonts w:ascii="宋体" w:hAnsi="宋体" w:cs="宋体"/>
        </w:rPr>
      </w:pPr>
      <w:r>
        <w:rPr>
          <w:rFonts w:hint="eastAsia" w:ascii="宋体" w:hAnsi="宋体" w:cs="宋体"/>
        </w:rPr>
        <w:t>9)《建筑灭火器配置设计规范》（GB50140-2005）</w:t>
      </w:r>
    </w:p>
    <w:p>
      <w:pPr>
        <w:spacing w:line="360" w:lineRule="auto"/>
        <w:ind w:firstLine="420" w:firstLineChars="200"/>
        <w:rPr>
          <w:rFonts w:ascii="宋体" w:hAnsi="宋体" w:cs="宋体"/>
        </w:rPr>
      </w:pPr>
      <w:r>
        <w:rPr>
          <w:rFonts w:hint="eastAsia" w:ascii="宋体" w:hAnsi="宋体" w:cs="宋体"/>
        </w:rPr>
        <w:t>10)《工作场所有害因素职业接触限值第1部分：化学有害因素（GBZ2.1-2019）</w:t>
      </w:r>
    </w:p>
    <w:p>
      <w:pPr>
        <w:spacing w:line="360" w:lineRule="auto"/>
        <w:ind w:firstLine="420" w:firstLineChars="200"/>
        <w:rPr>
          <w:rFonts w:ascii="宋体" w:hAnsi="宋体" w:cs="宋体"/>
        </w:rPr>
      </w:pPr>
      <w:r>
        <w:rPr>
          <w:rFonts w:hint="eastAsia" w:ascii="宋体" w:hAnsi="宋体" w:cs="宋体"/>
        </w:rPr>
        <w:t>11)《工作场所有害因素职业接触限值第2部分：物理因素》（GBZ2.2-2007）</w:t>
      </w:r>
    </w:p>
    <w:p>
      <w:pPr>
        <w:spacing w:line="360" w:lineRule="auto"/>
        <w:ind w:firstLine="420" w:firstLineChars="200"/>
        <w:rPr>
          <w:rFonts w:ascii="宋体" w:hAnsi="宋体" w:cs="宋体"/>
        </w:rPr>
      </w:pPr>
      <w:r>
        <w:rPr>
          <w:rFonts w:hint="eastAsia" w:ascii="宋体" w:hAnsi="宋体" w:cs="宋体"/>
        </w:rPr>
        <w:t>12)《安全预评价导则》（AQ8002-2007）</w:t>
      </w:r>
    </w:p>
    <w:p>
      <w:pPr>
        <w:spacing w:line="360" w:lineRule="auto"/>
        <w:ind w:firstLine="420" w:firstLineChars="200"/>
        <w:rPr>
          <w:rFonts w:ascii="宋体" w:hAnsi="宋体" w:cs="宋体"/>
          <w:szCs w:val="21"/>
        </w:rPr>
      </w:pPr>
      <w:r>
        <w:rPr>
          <w:rFonts w:hint="eastAsia" w:ascii="宋体" w:hAnsi="宋体" w:cs="宋体"/>
          <w:szCs w:val="21"/>
        </w:rPr>
        <w:t>13)如有最新政策及规定，按照最新规范执行。</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1.3服务范围</w:t>
      </w:r>
    </w:p>
    <w:p>
      <w:pPr>
        <w:spacing w:line="360" w:lineRule="auto"/>
        <w:ind w:firstLine="420" w:firstLineChars="200"/>
        <w:rPr>
          <w:rFonts w:ascii="宋体" w:hAnsi="宋体" w:cs="宋体"/>
          <w:szCs w:val="21"/>
        </w:rPr>
      </w:pPr>
      <w:r>
        <w:rPr>
          <w:rFonts w:hint="eastAsia" w:ascii="宋体" w:hAnsi="宋体" w:cs="宋体"/>
          <w:szCs w:val="21"/>
        </w:rPr>
        <w:t>对位于花都区农产品质量安全监督检测中心危险化学品使用储存场所、气体室进行安全现状评价及提供安全技术服务咨询。</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1.4安全评价服务和安全技术服务要求</w:t>
      </w:r>
    </w:p>
    <w:p>
      <w:pPr>
        <w:spacing w:line="360" w:lineRule="auto"/>
        <w:ind w:firstLine="420" w:firstLineChars="200"/>
        <w:rPr>
          <w:rFonts w:ascii="宋体" w:hAnsi="宋体" w:cs="宋体"/>
          <w:szCs w:val="21"/>
        </w:rPr>
      </w:pPr>
      <w:r>
        <w:rPr>
          <w:rFonts w:hint="eastAsia" w:ascii="宋体" w:hAnsi="宋体" w:cs="宋体"/>
          <w:szCs w:val="21"/>
        </w:rPr>
        <w:t>1.4.1安全评价服务</w:t>
      </w:r>
    </w:p>
    <w:p>
      <w:pPr>
        <w:spacing w:line="360" w:lineRule="auto"/>
        <w:ind w:firstLine="630" w:firstLineChars="300"/>
        <w:rPr>
          <w:rFonts w:ascii="宋体" w:hAnsi="宋体" w:cs="宋体"/>
          <w:szCs w:val="21"/>
        </w:rPr>
      </w:pPr>
      <w:r>
        <w:rPr>
          <w:rFonts w:hint="eastAsia" w:ascii="宋体" w:hAnsi="宋体" w:cs="宋体"/>
          <w:szCs w:val="21"/>
        </w:rPr>
        <w:t>1）前期准备：收集安全评价所需的资料、有关证照。</w:t>
      </w:r>
    </w:p>
    <w:p>
      <w:pPr>
        <w:spacing w:line="360" w:lineRule="auto"/>
        <w:ind w:firstLine="630" w:firstLineChars="300"/>
        <w:rPr>
          <w:rFonts w:ascii="宋体" w:hAnsi="宋体" w:cs="宋体"/>
          <w:szCs w:val="21"/>
        </w:rPr>
      </w:pPr>
      <w:r>
        <w:rPr>
          <w:rFonts w:hint="eastAsia" w:ascii="宋体" w:hAnsi="宋体" w:cs="宋体"/>
          <w:szCs w:val="21"/>
        </w:rPr>
        <w:t>2）危险、有害因素的辨识：根据被评价单位的经营情况，对所经营危险化学品的特性，以及在经营过程中涉及的危险有害因素进行辨识。</w:t>
      </w:r>
    </w:p>
    <w:p>
      <w:pPr>
        <w:spacing w:line="360" w:lineRule="auto"/>
        <w:ind w:firstLine="630" w:firstLineChars="300"/>
        <w:rPr>
          <w:rFonts w:ascii="宋体" w:hAnsi="宋体" w:cs="宋体"/>
          <w:szCs w:val="21"/>
        </w:rPr>
      </w:pPr>
      <w:r>
        <w:rPr>
          <w:rFonts w:hint="eastAsia" w:ascii="宋体" w:hAnsi="宋体" w:cs="宋体"/>
          <w:szCs w:val="21"/>
        </w:rPr>
        <w:t>3）定性、定量评价：根据《危险化学品经营许可证管理办法》、《关于印发&lt;危险化学品经营单位安全评价导则(试行)&gt;的通知》等法律、法规，对被评价单位的经营（生产）条件进行评价。</w:t>
      </w:r>
    </w:p>
    <w:p>
      <w:pPr>
        <w:spacing w:line="360" w:lineRule="auto"/>
        <w:ind w:firstLine="630" w:firstLineChars="300"/>
        <w:rPr>
          <w:rFonts w:ascii="宋体" w:hAnsi="宋体" w:cs="宋体"/>
          <w:szCs w:val="21"/>
        </w:rPr>
      </w:pPr>
      <w:r>
        <w:rPr>
          <w:rFonts w:hint="eastAsia" w:ascii="宋体" w:hAnsi="宋体" w:cs="宋体"/>
          <w:szCs w:val="21"/>
        </w:rPr>
        <w:t>4）提出安全对策措施：在以上分析、评价的基础上，针对本项目存在的实际情况和存在的事故隐患，提出合理可行的安全对策措施和建议，督促被评价单位完成整改并进行复查。</w:t>
      </w:r>
    </w:p>
    <w:p>
      <w:pPr>
        <w:spacing w:line="360" w:lineRule="auto"/>
        <w:ind w:firstLine="630" w:firstLineChars="300"/>
        <w:rPr>
          <w:rFonts w:ascii="宋体" w:hAnsi="宋体" w:cs="宋体"/>
          <w:szCs w:val="21"/>
        </w:rPr>
      </w:pPr>
      <w:r>
        <w:rPr>
          <w:rFonts w:hint="eastAsia" w:ascii="宋体" w:hAnsi="宋体" w:cs="宋体"/>
          <w:szCs w:val="21"/>
        </w:rPr>
        <w:t>5）作出安全评价结论，编制完成安全评价报告：汇总前几个阶段所得出的数据和资料，做出评价结论，编制完成安全评价报告。</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1.4.2安全技术服务</w:t>
      </w:r>
    </w:p>
    <w:p>
      <w:pPr>
        <w:pStyle w:val="2"/>
        <w:spacing w:line="360" w:lineRule="auto"/>
        <w:ind w:firstLine="630" w:firstLineChars="300"/>
        <w:rPr>
          <w:rFonts w:ascii="宋体" w:hAnsi="宋体" w:cs="宋体"/>
          <w:sz w:val="21"/>
          <w:szCs w:val="21"/>
        </w:rPr>
      </w:pPr>
      <w:r>
        <w:rPr>
          <w:rFonts w:hint="eastAsia" w:ascii="宋体" w:hAnsi="宋体" w:cs="宋体"/>
          <w:sz w:val="21"/>
          <w:szCs w:val="21"/>
        </w:rPr>
        <w:t>1）对检查发现的事故隐患，向招标人提出书面安全对策措施与建议；</w:t>
      </w:r>
    </w:p>
    <w:p>
      <w:pPr>
        <w:pStyle w:val="2"/>
        <w:spacing w:line="360" w:lineRule="auto"/>
        <w:ind w:firstLine="630" w:firstLineChars="300"/>
        <w:rPr>
          <w:rFonts w:ascii="宋体" w:hAnsi="宋体" w:cs="宋体"/>
          <w:sz w:val="21"/>
          <w:szCs w:val="21"/>
        </w:rPr>
      </w:pPr>
      <w:r>
        <w:rPr>
          <w:rFonts w:hint="eastAsia" w:ascii="宋体" w:hAnsi="宋体" w:cs="宋体"/>
          <w:sz w:val="21"/>
          <w:szCs w:val="21"/>
        </w:rPr>
        <w:t>2）对招标人该次安全（生产）整改过程遇到的问题提供技术咨询服务；</w:t>
      </w:r>
    </w:p>
    <w:p>
      <w:pPr>
        <w:pStyle w:val="2"/>
        <w:spacing w:line="360" w:lineRule="auto"/>
        <w:ind w:firstLine="630" w:firstLineChars="300"/>
        <w:rPr>
          <w:rFonts w:ascii="宋体" w:hAnsi="宋体" w:cs="宋体"/>
          <w:sz w:val="21"/>
          <w:szCs w:val="21"/>
        </w:rPr>
      </w:pPr>
      <w:r>
        <w:rPr>
          <w:rFonts w:hint="eastAsia" w:ascii="宋体" w:hAnsi="宋体" w:cs="宋体"/>
          <w:sz w:val="21"/>
          <w:szCs w:val="21"/>
        </w:rPr>
        <w:t>3）完善相关的生产安全事故应急预案，指导招标人完善安全管理网络、安全生产台帐和相关的安全操作规程。</w:t>
      </w:r>
    </w:p>
    <w:p>
      <w:pPr>
        <w:pStyle w:val="2"/>
        <w:spacing w:line="360" w:lineRule="auto"/>
        <w:ind w:firstLine="630" w:firstLineChars="300"/>
        <w:rPr>
          <w:rFonts w:ascii="宋体" w:hAnsi="宋体" w:cs="宋体"/>
          <w:sz w:val="21"/>
          <w:szCs w:val="21"/>
        </w:rPr>
      </w:pPr>
      <w:r>
        <w:rPr>
          <w:rFonts w:hint="eastAsia" w:ascii="宋体" w:hAnsi="宋体" w:cs="宋体"/>
          <w:sz w:val="21"/>
          <w:szCs w:val="21"/>
        </w:rPr>
        <w:t>4）邀请专家对招标人相关的工作人员进行一次安全培训，主要宣讲安全手册和安全知识。</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1.4.3人员要求</w:t>
      </w:r>
    </w:p>
    <w:p>
      <w:pPr>
        <w:pStyle w:val="2"/>
        <w:spacing w:line="360" w:lineRule="auto"/>
        <w:ind w:firstLine="630" w:firstLineChars="300"/>
        <w:rPr>
          <w:rFonts w:ascii="宋体" w:hAnsi="宋体" w:cs="宋体"/>
          <w:sz w:val="21"/>
          <w:szCs w:val="21"/>
        </w:rPr>
      </w:pPr>
      <w:r>
        <w:rPr>
          <w:rFonts w:hint="eastAsia" w:ascii="宋体" w:hAnsi="宋体" w:cs="宋体"/>
          <w:sz w:val="21"/>
          <w:szCs w:val="21"/>
        </w:rPr>
        <w:t>1)应配备不少于3名注册安全评价师或相关专业工程师。</w:t>
      </w:r>
    </w:p>
    <w:p>
      <w:pPr>
        <w:pStyle w:val="30"/>
        <w:spacing w:line="360" w:lineRule="auto"/>
        <w:jc w:val="both"/>
        <w:rPr>
          <w:rFonts w:ascii="宋体" w:hAnsi="宋体" w:cs="宋体"/>
          <w:b/>
          <w:bCs w:val="0"/>
          <w:sz w:val="21"/>
          <w:szCs w:val="21"/>
        </w:rPr>
      </w:pPr>
      <w:r>
        <w:rPr>
          <w:rFonts w:hint="eastAsia" w:ascii="宋体" w:hAnsi="宋体" w:cs="宋体"/>
          <w:b/>
          <w:bCs w:val="0"/>
          <w:sz w:val="21"/>
          <w:szCs w:val="21"/>
        </w:rPr>
        <w:t>二、职业病危害因素检测总体要求</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 xml:space="preserve">1.1职业病危害因素检测依据 </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1）《中华人民共和国职业病防治法》（2018年修正，中华人民共和国主席令第24号）</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2）《工业企业设计卫生标准》（GBZ 1—2010）</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3）《工作场所有害因素职业接触限值 第1部分：化学有害因素》（GBZ 2.1—2019）</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4）《工作场所有害因素职业接触限值 第2部分：物理有害因素》（GBZ 2.2—2007）</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1.2职业病危害因素检测内容</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本次现场检测项目包括但不限于：</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1）物理因素；</w:t>
      </w:r>
    </w:p>
    <w:p>
      <w:pPr>
        <w:snapToGrid w:val="0"/>
        <w:spacing w:line="360" w:lineRule="auto"/>
        <w:ind w:firstLine="444" w:firstLineChars="200"/>
        <w:rPr>
          <w:rFonts w:ascii="宋体" w:hAnsi="宋体" w:cs="宋体"/>
          <w:spacing w:val="6"/>
          <w:szCs w:val="21"/>
        </w:rPr>
      </w:pPr>
      <w:r>
        <w:rPr>
          <w:rFonts w:hint="eastAsia" w:ascii="宋体" w:hAnsi="宋体" w:cs="宋体"/>
          <w:spacing w:val="6"/>
          <w:szCs w:val="21"/>
        </w:rPr>
        <w:t>2）化学因素等。</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1.3职业病危害因素检测工作程序要求</w:t>
      </w:r>
    </w:p>
    <w:p>
      <w:pPr>
        <w:spacing w:line="360" w:lineRule="auto"/>
        <w:ind w:firstLine="420" w:firstLineChars="200"/>
        <w:rPr>
          <w:rFonts w:ascii="宋体" w:hAnsi="宋体" w:cs="宋体"/>
          <w:bCs/>
          <w:szCs w:val="21"/>
        </w:rPr>
      </w:pPr>
      <w:r>
        <w:rPr>
          <w:rFonts w:hint="eastAsia" w:ascii="宋体" w:hAnsi="宋体" w:cs="宋体"/>
          <w:bCs/>
          <w:szCs w:val="21"/>
        </w:rPr>
        <w:t>项目委托→现场调查→检测方案制定→检测前→现场采样、现场检测→实验室检测→数据处理→报告编制→报告审核签发。</w:t>
      </w:r>
    </w:p>
    <w:p>
      <w:pPr>
        <w:pStyle w:val="11"/>
        <w:tabs>
          <w:tab w:val="left" w:pos="540"/>
        </w:tabs>
        <w:autoSpaceDE/>
        <w:autoSpaceDN/>
        <w:snapToGrid w:val="0"/>
        <w:spacing w:line="360" w:lineRule="auto"/>
        <w:ind w:firstLine="422" w:firstLineChars="200"/>
        <w:jc w:val="both"/>
        <w:rPr>
          <w:rFonts w:hAnsi="宋体" w:cs="宋体"/>
          <w:b/>
          <w:sz w:val="21"/>
          <w:szCs w:val="21"/>
        </w:rPr>
      </w:pPr>
      <w:r>
        <w:rPr>
          <w:rFonts w:hint="eastAsia" w:hAnsi="宋体" w:cs="宋体"/>
          <w:b/>
          <w:sz w:val="21"/>
          <w:szCs w:val="21"/>
        </w:rPr>
        <w:t>1.4完成时间要求</w:t>
      </w:r>
    </w:p>
    <w:p>
      <w:pPr>
        <w:spacing w:line="360" w:lineRule="auto"/>
        <w:ind w:firstLine="420" w:firstLineChars="200"/>
        <w:rPr>
          <w:rFonts w:ascii="宋体" w:hAnsi="宋体" w:cs="宋体"/>
          <w:szCs w:val="21"/>
        </w:rPr>
      </w:pPr>
      <w:r>
        <w:rPr>
          <w:rFonts w:hint="eastAsia" w:ascii="宋体" w:hAnsi="宋体" w:cs="宋体"/>
          <w:szCs w:val="21"/>
        </w:rPr>
        <w:t>在检测进场后，30个工作日内交付检测报告</w:t>
      </w:r>
    </w:p>
    <w:p>
      <w:pPr>
        <w:pStyle w:val="11"/>
        <w:tabs>
          <w:tab w:val="left" w:pos="540"/>
        </w:tabs>
        <w:autoSpaceDE/>
        <w:autoSpaceDN/>
        <w:snapToGrid w:val="0"/>
        <w:spacing w:line="360" w:lineRule="auto"/>
        <w:jc w:val="both"/>
        <w:rPr>
          <w:rFonts w:hAnsi="宋体" w:cs="宋体"/>
          <w:b/>
          <w:sz w:val="21"/>
          <w:szCs w:val="21"/>
        </w:rPr>
      </w:pPr>
      <w:r>
        <w:rPr>
          <w:rFonts w:hint="eastAsia" w:hAnsi="宋体" w:cs="宋体"/>
          <w:b/>
          <w:sz w:val="21"/>
          <w:szCs w:val="21"/>
        </w:rPr>
        <w:t>三、付款方式</w:t>
      </w:r>
    </w:p>
    <w:p>
      <w:pPr>
        <w:spacing w:line="360" w:lineRule="auto"/>
        <w:ind w:firstLine="420" w:firstLineChars="200"/>
        <w:rPr>
          <w:rFonts w:ascii="宋体" w:hAnsi="宋体" w:cs="宋体"/>
          <w:szCs w:val="21"/>
        </w:rPr>
      </w:pPr>
      <w:r>
        <w:rPr>
          <w:rFonts w:hint="eastAsia" w:ascii="宋体" w:hAnsi="宋体" w:cs="宋体"/>
          <w:szCs w:val="21"/>
        </w:rPr>
        <w:t>1.招标人按以下方式向成交人支付费用：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1）签订合同后10个工作日内，招标人凭成交人开具的等额合法的增值税专用发票，支付合同首期款50%；项目完成并经招标人验收确认后10个工作日内，招标人凭成交人开具的等额合法的增值税专用发票，支付合同余款。</w:t>
      </w:r>
    </w:p>
    <w:p>
      <w:pPr>
        <w:spacing w:line="360" w:lineRule="auto"/>
        <w:ind w:firstLine="420" w:firstLineChars="200"/>
        <w:rPr>
          <w:rFonts w:ascii="宋体" w:hAnsi="宋体" w:cs="宋体"/>
          <w:szCs w:val="21"/>
        </w:rPr>
      </w:pPr>
      <w:r>
        <w:rPr>
          <w:rFonts w:hint="eastAsia" w:ascii="宋体" w:hAnsi="宋体" w:cs="宋体"/>
          <w:bCs/>
          <w:kern w:val="21"/>
          <w:szCs w:val="21"/>
        </w:rPr>
        <w:t>2.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rPr>
          <w:rFonts w:ascii="宋体" w:hAnsi="宋体" w:cs="宋体"/>
          <w:b/>
          <w:bCs/>
          <w:sz w:val="28"/>
          <w:szCs w:val="28"/>
        </w:rPr>
      </w:pPr>
      <w:r>
        <w:rPr>
          <w:rFonts w:hint="eastAsia" w:ascii="宋体" w:hAnsi="宋体" w:cs="宋体"/>
          <w:b/>
          <w:bCs/>
          <w:sz w:val="28"/>
          <w:szCs w:val="28"/>
        </w:rPr>
        <w:br w:type="page"/>
      </w:r>
    </w:p>
    <w:p>
      <w:pPr>
        <w:spacing w:line="360" w:lineRule="auto"/>
        <w:jc w:val="center"/>
        <w:rPr>
          <w:rFonts w:ascii="宋体" w:hAnsi="宋体" w:cs="宋体"/>
          <w:b/>
          <w:bCs/>
          <w:sz w:val="28"/>
          <w:szCs w:val="28"/>
        </w:rPr>
      </w:pPr>
      <w:r>
        <w:rPr>
          <w:rFonts w:hint="eastAsia" w:ascii="宋体" w:hAnsi="宋体" w:cs="宋体"/>
          <w:b/>
          <w:bCs/>
          <w:sz w:val="28"/>
          <w:szCs w:val="28"/>
        </w:rPr>
        <w:t>包组二：采购实验室有毒有害废物处理商</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377"/>
        <w:gridCol w:w="906"/>
        <w:gridCol w:w="2469"/>
        <w:gridCol w:w="21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szCs w:val="21"/>
              </w:rPr>
            </w:pPr>
            <w:r>
              <w:rPr>
                <w:rFonts w:hint="eastAsia" w:ascii="宋体"/>
                <w:b/>
                <w:szCs w:val="21"/>
              </w:rPr>
              <w:t>包组号</w:t>
            </w:r>
          </w:p>
        </w:tc>
        <w:tc>
          <w:tcPr>
            <w:tcW w:w="2377" w:type="dxa"/>
            <w:shd w:val="clear" w:color="auto" w:fill="EEECE1"/>
            <w:vAlign w:val="center"/>
          </w:tcPr>
          <w:p>
            <w:pPr>
              <w:jc w:val="center"/>
              <w:rPr>
                <w:rFonts w:ascii="宋体"/>
                <w:b/>
                <w:szCs w:val="21"/>
              </w:rPr>
            </w:pPr>
            <w:r>
              <w:rPr>
                <w:rFonts w:hint="eastAsia" w:ascii="宋体"/>
                <w:b/>
                <w:szCs w:val="21"/>
              </w:rPr>
              <w:t>采购内容</w:t>
            </w:r>
          </w:p>
        </w:tc>
        <w:tc>
          <w:tcPr>
            <w:tcW w:w="906" w:type="dxa"/>
            <w:shd w:val="clear" w:color="auto" w:fill="EEECE1"/>
            <w:vAlign w:val="center"/>
          </w:tcPr>
          <w:p>
            <w:pPr>
              <w:jc w:val="center"/>
              <w:rPr>
                <w:rFonts w:ascii="宋体"/>
                <w:b/>
                <w:szCs w:val="21"/>
              </w:rPr>
            </w:pPr>
            <w:r>
              <w:rPr>
                <w:rFonts w:hint="eastAsia" w:ascii="宋体"/>
                <w:b/>
                <w:szCs w:val="21"/>
              </w:rPr>
              <w:t>数量</w:t>
            </w:r>
          </w:p>
        </w:tc>
        <w:tc>
          <w:tcPr>
            <w:tcW w:w="2469" w:type="dxa"/>
            <w:shd w:val="clear" w:color="auto" w:fill="EEECE1"/>
            <w:vAlign w:val="center"/>
          </w:tcPr>
          <w:p>
            <w:pPr>
              <w:jc w:val="center"/>
              <w:rPr>
                <w:rFonts w:ascii="宋体"/>
                <w:b/>
                <w:szCs w:val="21"/>
              </w:rPr>
            </w:pPr>
            <w:r>
              <w:rPr>
                <w:rFonts w:hint="eastAsia" w:ascii="宋体"/>
                <w:b/>
                <w:szCs w:val="21"/>
              </w:rPr>
              <w:t>服务期限</w:t>
            </w:r>
          </w:p>
        </w:tc>
        <w:tc>
          <w:tcPr>
            <w:tcW w:w="2106" w:type="dxa"/>
            <w:shd w:val="clear" w:color="auto" w:fill="EEECE1"/>
            <w:vAlign w:val="center"/>
          </w:tcPr>
          <w:p>
            <w:pPr>
              <w:jc w:val="center"/>
              <w:rPr>
                <w:rFonts w:ascii="宋体"/>
                <w:b/>
                <w:szCs w:val="21"/>
              </w:rPr>
            </w:pPr>
            <w:r>
              <w:rPr>
                <w:rFonts w:hint="eastAsia" w:ascii="宋体"/>
                <w:b/>
                <w:szCs w:val="21"/>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3" w:hRule="atLeast"/>
          <w:jc w:val="center"/>
        </w:trPr>
        <w:tc>
          <w:tcPr>
            <w:tcW w:w="933" w:type="dxa"/>
            <w:vAlign w:val="center"/>
          </w:tcPr>
          <w:p>
            <w:pPr>
              <w:jc w:val="center"/>
              <w:rPr>
                <w:rFonts w:ascii="宋体"/>
                <w:bCs/>
                <w:color w:val="auto"/>
                <w:szCs w:val="21"/>
              </w:rPr>
            </w:pPr>
            <w:r>
              <w:rPr>
                <w:rFonts w:hint="eastAsia" w:ascii="宋体"/>
                <w:bCs/>
                <w:color w:val="auto"/>
                <w:szCs w:val="21"/>
              </w:rPr>
              <w:t>包组二</w:t>
            </w:r>
          </w:p>
        </w:tc>
        <w:tc>
          <w:tcPr>
            <w:tcW w:w="2377" w:type="dxa"/>
            <w:vAlign w:val="center"/>
          </w:tcPr>
          <w:p>
            <w:pPr>
              <w:jc w:val="center"/>
              <w:rPr>
                <w:rFonts w:ascii="宋体"/>
                <w:bCs/>
                <w:color w:val="auto"/>
                <w:szCs w:val="21"/>
              </w:rPr>
            </w:pPr>
            <w:r>
              <w:rPr>
                <w:rFonts w:hint="eastAsia" w:ascii="宋体" w:hAnsi="宋体"/>
                <w:color w:val="auto"/>
              </w:rPr>
              <w:t>采购实验室有毒有害废物处理商</w:t>
            </w:r>
          </w:p>
        </w:tc>
        <w:tc>
          <w:tcPr>
            <w:tcW w:w="906" w:type="dxa"/>
            <w:vAlign w:val="center"/>
          </w:tcPr>
          <w:p>
            <w:pPr>
              <w:jc w:val="center"/>
              <w:rPr>
                <w:rFonts w:ascii="宋体" w:hAnsi="宋体"/>
                <w:color w:val="auto"/>
              </w:rPr>
            </w:pPr>
            <w:r>
              <w:rPr>
                <w:rFonts w:hint="eastAsia" w:ascii="宋体" w:hAnsi="宋体"/>
                <w:color w:val="auto"/>
              </w:rPr>
              <w:t>1项</w:t>
            </w:r>
          </w:p>
        </w:tc>
        <w:tc>
          <w:tcPr>
            <w:tcW w:w="2469" w:type="dxa"/>
            <w:vAlign w:val="center"/>
          </w:tcPr>
          <w:p>
            <w:pPr>
              <w:pStyle w:val="46"/>
              <w:spacing w:line="240" w:lineRule="auto"/>
              <w:rPr>
                <w:rFonts w:hint="eastAsia" w:ascii="宋体" w:hAnsi="宋体" w:eastAsia="宋体"/>
                <w:snapToGrid/>
                <w:color w:val="auto"/>
                <w:spacing w:val="0"/>
                <w:kern w:val="2"/>
                <w:sz w:val="21"/>
                <w:szCs w:val="21"/>
                <w:lang w:eastAsia="zh-CN"/>
              </w:rPr>
            </w:pPr>
            <w:r>
              <w:rPr>
                <w:rFonts w:hint="eastAsia" w:ascii="宋体" w:hAnsi="宋体"/>
                <w:snapToGrid/>
                <w:color w:val="auto"/>
                <w:spacing w:val="0"/>
                <w:kern w:val="2"/>
                <w:sz w:val="21"/>
                <w:szCs w:val="21"/>
              </w:rPr>
              <w:t>自合同签订之日起二年</w:t>
            </w:r>
          </w:p>
        </w:tc>
        <w:tc>
          <w:tcPr>
            <w:tcW w:w="2106" w:type="dxa"/>
            <w:vAlign w:val="center"/>
          </w:tcPr>
          <w:p>
            <w:pPr>
              <w:jc w:val="center"/>
              <w:rPr>
                <w:rFonts w:ascii="宋体" w:hAnsi="宋体"/>
                <w:color w:val="auto"/>
              </w:rPr>
            </w:pPr>
            <w:r>
              <w:rPr>
                <w:rFonts w:hint="eastAsia" w:ascii="宋体" w:hAnsi="宋体"/>
                <w:color w:val="auto"/>
              </w:rPr>
              <w:t>人民币7万元/两年</w:t>
            </w:r>
          </w:p>
        </w:tc>
      </w:tr>
    </w:tbl>
    <w:p>
      <w:pPr>
        <w:pStyle w:val="11"/>
        <w:tabs>
          <w:tab w:val="left" w:pos="540"/>
        </w:tabs>
        <w:autoSpaceDE/>
        <w:autoSpaceDN/>
        <w:snapToGrid w:val="0"/>
        <w:spacing w:line="360" w:lineRule="auto"/>
        <w:jc w:val="both"/>
        <w:rPr>
          <w:rFonts w:hAnsi="宋体"/>
          <w:b/>
          <w:color w:val="auto"/>
          <w:sz w:val="21"/>
          <w:szCs w:val="21"/>
        </w:rPr>
      </w:pPr>
    </w:p>
    <w:p>
      <w:pPr>
        <w:pStyle w:val="11"/>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服务内容及工作要求</w:t>
      </w:r>
    </w:p>
    <w:p>
      <w:pPr>
        <w:pStyle w:val="30"/>
        <w:numPr>
          <w:ilvl w:val="0"/>
          <w:numId w:val="10"/>
        </w:numPr>
        <w:spacing w:line="360" w:lineRule="auto"/>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计划需要转移的危险废物的种类、成分和数量如下表所示，转移数量以实际存量为准：</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1266"/>
        <w:gridCol w:w="879"/>
        <w:gridCol w:w="992"/>
        <w:gridCol w:w="772"/>
        <w:gridCol w:w="2437"/>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废物名称</w:t>
            </w:r>
          </w:p>
        </w:tc>
        <w:tc>
          <w:tcPr>
            <w:tcW w:w="1266"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废物编号</w:t>
            </w:r>
          </w:p>
        </w:tc>
        <w:tc>
          <w:tcPr>
            <w:tcW w:w="879"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形态</w:t>
            </w:r>
          </w:p>
        </w:tc>
        <w:tc>
          <w:tcPr>
            <w:tcW w:w="99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每年数量(吨)</w:t>
            </w:r>
          </w:p>
        </w:tc>
        <w:tc>
          <w:tcPr>
            <w:tcW w:w="77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包装</w:t>
            </w:r>
          </w:p>
        </w:tc>
        <w:tc>
          <w:tcPr>
            <w:tcW w:w="243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危险特性</w:t>
            </w:r>
          </w:p>
        </w:tc>
        <w:tc>
          <w:tcPr>
            <w:tcW w:w="162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处理次数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实验</w:t>
            </w:r>
            <w:r>
              <w:rPr>
                <w:rFonts w:ascii="宋体" w:hAnsi="宋体" w:cs="宋体"/>
                <w:bCs w:val="0"/>
                <w:color w:val="auto"/>
                <w:spacing w:val="0"/>
                <w:kern w:val="2"/>
                <w:sz w:val="21"/>
                <w:szCs w:val="21"/>
              </w:rPr>
              <w:t>废物</w:t>
            </w:r>
          </w:p>
        </w:tc>
        <w:tc>
          <w:tcPr>
            <w:tcW w:w="1266"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900-047-49</w:t>
            </w:r>
          </w:p>
        </w:tc>
        <w:tc>
          <w:tcPr>
            <w:tcW w:w="879"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液态</w:t>
            </w:r>
          </w:p>
        </w:tc>
        <w:tc>
          <w:tcPr>
            <w:tcW w:w="992"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0.8</w:t>
            </w:r>
          </w:p>
        </w:tc>
        <w:tc>
          <w:tcPr>
            <w:tcW w:w="77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桶装</w:t>
            </w:r>
          </w:p>
        </w:tc>
        <w:tc>
          <w:tcPr>
            <w:tcW w:w="243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易燃、毒性</w:t>
            </w:r>
          </w:p>
        </w:tc>
        <w:tc>
          <w:tcPr>
            <w:tcW w:w="1627"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4</w:t>
            </w:r>
            <w:r>
              <w:rPr>
                <w:rFonts w:hint="eastAsia" w:ascii="宋体" w:hAnsi="宋体" w:cs="宋体"/>
                <w:bCs w:val="0"/>
                <w:color w:val="auto"/>
                <w:spacing w:val="0"/>
                <w:kern w:val="2"/>
                <w:sz w:val="21"/>
                <w:szCs w:val="21"/>
              </w:rPr>
              <w:t>次(每年</w:t>
            </w:r>
            <w:r>
              <w:rPr>
                <w:rFonts w:ascii="宋体" w:hAnsi="宋体" w:cs="宋体"/>
                <w:bCs w:val="0"/>
                <w:color w:val="auto"/>
                <w:spacing w:val="0"/>
                <w:kern w:val="2"/>
                <w:sz w:val="21"/>
                <w:szCs w:val="21"/>
              </w:rPr>
              <w:t>2</w:t>
            </w:r>
            <w:r>
              <w:rPr>
                <w:rFonts w:hint="eastAsia" w:ascii="宋体" w:hAnsi="宋体" w:cs="宋体"/>
                <w:bCs w:val="0"/>
                <w:color w:val="auto"/>
                <w:spacing w:val="0"/>
                <w:kern w:val="2"/>
                <w:sz w:val="21"/>
                <w:szCs w:val="21"/>
              </w:rPr>
              <w:t>次，共两年)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废容器</w:t>
            </w:r>
            <w:r>
              <w:rPr>
                <w:rFonts w:ascii="宋体" w:hAnsi="宋体" w:cs="宋体"/>
                <w:bCs w:val="0"/>
                <w:color w:val="auto"/>
                <w:spacing w:val="0"/>
                <w:kern w:val="2"/>
                <w:sz w:val="21"/>
                <w:szCs w:val="21"/>
              </w:rPr>
              <w:t>瓶</w:t>
            </w:r>
          </w:p>
        </w:tc>
        <w:tc>
          <w:tcPr>
            <w:tcW w:w="1266"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900-041-49</w:t>
            </w:r>
          </w:p>
        </w:tc>
        <w:tc>
          <w:tcPr>
            <w:tcW w:w="879"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固态</w:t>
            </w:r>
          </w:p>
        </w:tc>
        <w:tc>
          <w:tcPr>
            <w:tcW w:w="992"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0.3</w:t>
            </w:r>
          </w:p>
        </w:tc>
        <w:tc>
          <w:tcPr>
            <w:tcW w:w="77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袋装</w:t>
            </w:r>
          </w:p>
        </w:tc>
        <w:tc>
          <w:tcPr>
            <w:tcW w:w="243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易燃、毒性</w:t>
            </w:r>
          </w:p>
        </w:tc>
        <w:tc>
          <w:tcPr>
            <w:tcW w:w="1627"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4</w:t>
            </w:r>
            <w:r>
              <w:rPr>
                <w:rFonts w:hint="eastAsia" w:ascii="宋体" w:hAnsi="宋体" w:cs="宋体"/>
                <w:bCs w:val="0"/>
                <w:color w:val="auto"/>
                <w:spacing w:val="0"/>
                <w:kern w:val="2"/>
                <w:sz w:val="21"/>
                <w:szCs w:val="21"/>
              </w:rPr>
              <w:t>次(每年</w:t>
            </w:r>
            <w:r>
              <w:rPr>
                <w:rFonts w:ascii="宋体" w:hAnsi="宋体" w:cs="宋体"/>
                <w:bCs w:val="0"/>
                <w:color w:val="auto"/>
                <w:spacing w:val="0"/>
                <w:kern w:val="2"/>
                <w:sz w:val="21"/>
                <w:szCs w:val="21"/>
              </w:rPr>
              <w:t>2</w:t>
            </w:r>
            <w:r>
              <w:rPr>
                <w:rFonts w:hint="eastAsia" w:ascii="宋体" w:hAnsi="宋体" w:cs="宋体"/>
                <w:bCs w:val="0"/>
                <w:color w:val="auto"/>
                <w:spacing w:val="0"/>
                <w:kern w:val="2"/>
                <w:sz w:val="21"/>
                <w:szCs w:val="21"/>
              </w:rPr>
              <w:t>次，共两年)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废</w:t>
            </w:r>
            <w:r>
              <w:rPr>
                <w:rFonts w:ascii="宋体" w:hAnsi="宋体" w:cs="宋体"/>
                <w:bCs w:val="0"/>
                <w:color w:val="auto"/>
                <w:spacing w:val="0"/>
                <w:kern w:val="2"/>
                <w:sz w:val="21"/>
                <w:szCs w:val="21"/>
              </w:rPr>
              <w:t>柱子、废针</w:t>
            </w:r>
            <w:r>
              <w:rPr>
                <w:rFonts w:hint="eastAsia" w:ascii="宋体" w:hAnsi="宋体" w:cs="宋体"/>
                <w:bCs w:val="0"/>
                <w:color w:val="auto"/>
                <w:spacing w:val="0"/>
                <w:kern w:val="2"/>
                <w:sz w:val="21"/>
                <w:szCs w:val="21"/>
              </w:rPr>
              <w:t>筒</w:t>
            </w:r>
            <w:r>
              <w:rPr>
                <w:rFonts w:ascii="宋体" w:hAnsi="宋体" w:cs="宋体"/>
                <w:bCs w:val="0"/>
                <w:color w:val="auto"/>
                <w:spacing w:val="0"/>
                <w:kern w:val="2"/>
                <w:sz w:val="21"/>
                <w:szCs w:val="21"/>
              </w:rPr>
              <w:t>、废离心管</w:t>
            </w:r>
          </w:p>
        </w:tc>
        <w:tc>
          <w:tcPr>
            <w:tcW w:w="1266" w:type="dxa"/>
            <w:vAlign w:val="center"/>
          </w:tcPr>
          <w:p>
            <w:pPr>
              <w:pStyle w:val="30"/>
              <w:jc w:val="center"/>
              <w:rPr>
                <w:rFonts w:ascii="宋体" w:hAnsi="宋体" w:cs="宋体"/>
                <w:bCs w:val="0"/>
                <w:color w:val="auto"/>
                <w:spacing w:val="0"/>
                <w:kern w:val="2"/>
                <w:sz w:val="21"/>
                <w:szCs w:val="21"/>
              </w:rPr>
            </w:pPr>
            <w:r>
              <w:rPr>
                <w:rFonts w:ascii="宋体" w:hAnsi="宋体" w:cs="宋体"/>
                <w:bCs w:val="0"/>
                <w:color w:val="auto"/>
                <w:spacing w:val="0"/>
                <w:kern w:val="2"/>
                <w:sz w:val="21"/>
                <w:szCs w:val="21"/>
              </w:rPr>
              <w:t>900-047-49</w:t>
            </w:r>
          </w:p>
        </w:tc>
        <w:tc>
          <w:tcPr>
            <w:tcW w:w="879"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固态</w:t>
            </w:r>
          </w:p>
        </w:tc>
        <w:tc>
          <w:tcPr>
            <w:tcW w:w="99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0.</w:t>
            </w:r>
            <w:r>
              <w:rPr>
                <w:rFonts w:ascii="宋体" w:hAnsi="宋体" w:cs="宋体"/>
                <w:bCs w:val="0"/>
                <w:color w:val="auto"/>
                <w:spacing w:val="0"/>
                <w:kern w:val="2"/>
                <w:sz w:val="21"/>
                <w:szCs w:val="21"/>
              </w:rPr>
              <w:t>7</w:t>
            </w:r>
          </w:p>
        </w:tc>
        <w:tc>
          <w:tcPr>
            <w:tcW w:w="772"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桶装</w:t>
            </w:r>
          </w:p>
        </w:tc>
        <w:tc>
          <w:tcPr>
            <w:tcW w:w="243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易燃、毒性</w:t>
            </w:r>
          </w:p>
        </w:tc>
        <w:tc>
          <w:tcPr>
            <w:tcW w:w="1627" w:type="dxa"/>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4次(每年2次，共两年)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048" w:type="dxa"/>
            <w:gridSpan w:val="7"/>
            <w:vAlign w:val="center"/>
          </w:tcPr>
          <w:p>
            <w:pPr>
              <w:pStyle w:val="30"/>
              <w:jc w:val="center"/>
              <w:rPr>
                <w:rFonts w:ascii="宋体" w:hAnsi="宋体" w:cs="宋体"/>
                <w:bCs w:val="0"/>
                <w:color w:val="auto"/>
                <w:spacing w:val="0"/>
                <w:kern w:val="2"/>
                <w:sz w:val="21"/>
                <w:szCs w:val="21"/>
              </w:rPr>
            </w:pPr>
            <w:r>
              <w:rPr>
                <w:rFonts w:hint="eastAsia" w:ascii="宋体" w:hAnsi="宋体" w:cs="宋体"/>
                <w:bCs w:val="0"/>
                <w:color w:val="auto"/>
                <w:spacing w:val="0"/>
                <w:kern w:val="2"/>
                <w:sz w:val="21"/>
                <w:szCs w:val="21"/>
              </w:rPr>
              <w:t>合</w:t>
            </w:r>
            <w:r>
              <w:rPr>
                <w:rFonts w:ascii="宋体" w:hAnsi="宋体" w:cs="宋体"/>
                <w:bCs w:val="0"/>
                <w:color w:val="auto"/>
                <w:spacing w:val="0"/>
                <w:kern w:val="2"/>
                <w:sz w:val="21"/>
                <w:szCs w:val="21"/>
              </w:rPr>
              <w:t>计</w:t>
            </w:r>
            <w:r>
              <w:rPr>
                <w:rFonts w:hint="eastAsia" w:ascii="宋体" w:hAnsi="宋体" w:cs="宋体"/>
                <w:bCs w:val="0"/>
                <w:color w:val="auto"/>
                <w:spacing w:val="0"/>
                <w:kern w:val="2"/>
                <w:sz w:val="21"/>
                <w:szCs w:val="21"/>
              </w:rPr>
              <w:t>：每</w:t>
            </w:r>
            <w:r>
              <w:rPr>
                <w:rFonts w:ascii="宋体" w:hAnsi="宋体" w:cs="宋体"/>
                <w:bCs w:val="0"/>
                <w:color w:val="auto"/>
                <w:spacing w:val="0"/>
                <w:kern w:val="2"/>
                <w:sz w:val="21"/>
                <w:szCs w:val="21"/>
              </w:rPr>
              <w:t>年</w:t>
            </w:r>
            <w:r>
              <w:rPr>
                <w:rFonts w:hint="eastAsia" w:ascii="宋体" w:hAnsi="宋体" w:cs="宋体"/>
                <w:bCs w:val="0"/>
                <w:color w:val="auto"/>
                <w:spacing w:val="0"/>
                <w:kern w:val="2"/>
                <w:sz w:val="21"/>
                <w:szCs w:val="21"/>
              </w:rPr>
              <w:t>小</w:t>
            </w:r>
            <w:r>
              <w:rPr>
                <w:rFonts w:ascii="宋体" w:hAnsi="宋体" w:cs="宋体"/>
                <w:bCs w:val="0"/>
                <w:color w:val="auto"/>
                <w:spacing w:val="0"/>
                <w:kern w:val="2"/>
                <w:sz w:val="21"/>
                <w:szCs w:val="21"/>
              </w:rPr>
              <w:t>于或等于</w:t>
            </w:r>
            <w:r>
              <w:rPr>
                <w:rFonts w:hint="eastAsia" w:ascii="宋体" w:hAnsi="宋体" w:cs="宋体"/>
                <w:bCs w:val="0"/>
                <w:color w:val="auto"/>
                <w:spacing w:val="0"/>
                <w:kern w:val="2"/>
                <w:sz w:val="21"/>
                <w:szCs w:val="21"/>
              </w:rPr>
              <w:t>1.8吨，废物种类构</w:t>
            </w:r>
            <w:r>
              <w:rPr>
                <w:rFonts w:ascii="宋体" w:hAnsi="宋体" w:cs="宋体"/>
                <w:bCs w:val="0"/>
                <w:color w:val="auto"/>
                <w:spacing w:val="0"/>
                <w:kern w:val="2"/>
                <w:sz w:val="21"/>
                <w:szCs w:val="21"/>
              </w:rPr>
              <w:t>成将以实际存量为准</w:t>
            </w:r>
            <w:r>
              <w:rPr>
                <w:rFonts w:hint="eastAsia" w:ascii="宋体" w:hAnsi="宋体" w:cs="宋体"/>
                <w:bCs w:val="0"/>
                <w:color w:val="auto"/>
                <w:spacing w:val="0"/>
                <w:kern w:val="2"/>
                <w:sz w:val="21"/>
                <w:szCs w:val="21"/>
              </w:rPr>
              <w:t>。</w:t>
            </w:r>
          </w:p>
        </w:tc>
      </w:tr>
    </w:tbl>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color w:val="auto"/>
          <w:spacing w:val="0"/>
          <w:kern w:val="2"/>
          <w:sz w:val="21"/>
          <w:szCs w:val="21"/>
        </w:rPr>
        <w:t>成交人应具备处理处置工业废物(液)所需的条件和设施，保证各项处理条件和设施符合国家法律、法规对处理工业危险废物(液)的技术要求。</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成交人在接到招标人收运通知后，按约定时间到招标人指定收运场所收取废物。</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成交人应确保收运危险废物的运输车辆与装卸人员能按照相关法律规定做好自我防护工作，并遵守招标人明示的环境安全制度，不影响招标人正常的生产、经营活动。</w:t>
      </w:r>
    </w:p>
    <w:p>
      <w:pPr>
        <w:pStyle w:val="30"/>
        <w:numPr>
          <w:ilvl w:val="0"/>
          <w:numId w:val="10"/>
        </w:numPr>
        <w:spacing w:before="0" w:after="0" w:line="360" w:lineRule="auto"/>
        <w:rPr>
          <w:rFonts w:ascii="宋体" w:hAnsi="宋体" w:cs="宋体"/>
          <w:bCs w:val="0"/>
          <w:color w:val="auto"/>
          <w:spacing w:val="0"/>
          <w:kern w:val="2"/>
          <w:sz w:val="21"/>
          <w:szCs w:val="21"/>
        </w:rPr>
      </w:pPr>
      <w:r>
        <w:rPr>
          <w:rFonts w:hint="eastAsia" w:hAnsi="宋体"/>
          <w:b/>
          <w:color w:val="auto"/>
          <w:sz w:val="21"/>
          <w:szCs w:val="21"/>
        </w:rPr>
        <w:t>★</w:t>
      </w:r>
      <w:r>
        <w:rPr>
          <w:rFonts w:hint="eastAsia" w:ascii="宋体" w:hAnsi="宋体" w:cs="宋体"/>
          <w:bCs w:val="0"/>
          <w:color w:val="auto"/>
          <w:spacing w:val="0"/>
          <w:kern w:val="2"/>
          <w:sz w:val="21"/>
          <w:szCs w:val="21"/>
        </w:rPr>
        <w:t>成交人应确保废物运输单位具备交通主管部门颁发的“危险废物道路运输经营许可证”。（提供废物运输单位的许可证复印件）</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专用车辆的驾驶人员需取得相应机动车驾驶证和相应危险货物运输从业资格证；押运人须具备相关法律法规要求之证照。废物运输及处理过程中，应符合国家法律规定的环保和消防要求或标准，不对环境造成二次污染。</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危险废物运输之前，废物的标识标签、包装物及容器须由成交人提供并进行包装，因处理不当而对招标人危险废物的运输、处置造成困难或事故的，由成交人负责全额赔偿。</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在危险废物转移过程中，交接废物时，成交人必须认真填写交接时间和《危险废物转移联单》各栏目内容，作为双方核对废物种类、数量及收费的凭证。</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成交人需维护我单位在“广东省固体废物管理信息平台”固废相关台账的登记及纠正信息，达到符合系统及政府相关的要求。</w:t>
      </w:r>
    </w:p>
    <w:p>
      <w:pPr>
        <w:pStyle w:val="30"/>
        <w:numPr>
          <w:ilvl w:val="0"/>
          <w:numId w:val="10"/>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对突发性情况应对措施：如遇需要紧急维护“广东省固体废物管理信息平台”或现场需额外处理危险废物等，成交人必须保证先行给予处理，如需增加费用事后再另行结算。</w:t>
      </w:r>
    </w:p>
    <w:p>
      <w:pPr>
        <w:pStyle w:val="11"/>
        <w:numPr>
          <w:ilvl w:val="0"/>
          <w:numId w:val="9"/>
        </w:numPr>
        <w:tabs>
          <w:tab w:val="left" w:pos="540"/>
        </w:tabs>
        <w:autoSpaceDE/>
        <w:autoSpaceDN/>
        <w:snapToGrid w:val="0"/>
        <w:spacing w:line="360" w:lineRule="auto"/>
        <w:jc w:val="both"/>
        <w:rPr>
          <w:rFonts w:hAnsi="宋体"/>
          <w:b/>
          <w:sz w:val="21"/>
          <w:szCs w:val="21"/>
        </w:rPr>
      </w:pPr>
      <w:r>
        <w:rPr>
          <w:rFonts w:hint="eastAsia" w:hAnsi="宋体"/>
          <w:b/>
          <w:sz w:val="21"/>
          <w:szCs w:val="21"/>
        </w:rPr>
        <w:t>施工作业技术规范要求</w:t>
      </w:r>
    </w:p>
    <w:p>
      <w:pPr>
        <w:pStyle w:val="30"/>
        <w:numPr>
          <w:ilvl w:val="0"/>
          <w:numId w:val="11"/>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根据《中华人民共和国环境保护法》、《中华人民共和国固体废物污染环境防治法》、《广东省固体废物污染环境防治条例》及相关环境保护法律、法规的规定，招标人在生产过程中所产生的工业危险废物，需交由有资质公司进行处理处置。</w:t>
      </w:r>
    </w:p>
    <w:p>
      <w:pPr>
        <w:pStyle w:val="30"/>
        <w:numPr>
          <w:ilvl w:val="0"/>
          <w:numId w:val="11"/>
        </w:numPr>
        <w:spacing w:before="0" w:after="0" w:line="360" w:lineRule="auto"/>
        <w:rPr>
          <w:rFonts w:ascii="宋体" w:hAnsi="宋体" w:cs="宋体"/>
          <w:bCs w:val="0"/>
          <w:spacing w:val="0"/>
          <w:kern w:val="2"/>
          <w:sz w:val="21"/>
          <w:szCs w:val="21"/>
        </w:rPr>
      </w:pPr>
      <w:r>
        <w:rPr>
          <w:rFonts w:hint="eastAsia" w:ascii="宋体" w:hAnsi="宋体" w:cs="宋体"/>
          <w:bCs w:val="0"/>
          <w:spacing w:val="0"/>
          <w:kern w:val="2"/>
          <w:sz w:val="21"/>
          <w:szCs w:val="21"/>
        </w:rPr>
        <w:t>所有提供的危险废物转移服务，若发现有不符合《中华人民共和国环境保护法》、《中华人民共和国固体废物污染环境防治法》、《广东省固体废物污染环境防治条例》及相关环境保护法律、法规的规定要求，招标人有权拒绝转移，并予以扣款或者罚款处理，因成交人提供的不符合法律法规转移标准而导致的招标人危险废弃物出现问题发生事故，招标人有权追究提供服务一切法律责任。</w:t>
      </w:r>
    </w:p>
    <w:p>
      <w:pPr>
        <w:pStyle w:val="11"/>
        <w:numPr>
          <w:ilvl w:val="0"/>
          <w:numId w:val="9"/>
        </w:numPr>
        <w:tabs>
          <w:tab w:val="left" w:pos="540"/>
        </w:tabs>
        <w:autoSpaceDE/>
        <w:autoSpaceDN/>
        <w:snapToGrid w:val="0"/>
        <w:spacing w:line="360" w:lineRule="auto"/>
        <w:jc w:val="both"/>
        <w:rPr>
          <w:rFonts w:hAnsi="宋体"/>
          <w:b/>
          <w:color w:val="auto"/>
          <w:sz w:val="21"/>
          <w:szCs w:val="21"/>
        </w:rPr>
      </w:pPr>
      <w:r>
        <w:rPr>
          <w:rFonts w:hint="eastAsia" w:hAnsi="宋体"/>
          <w:b/>
          <w:color w:val="auto"/>
          <w:sz w:val="21"/>
          <w:szCs w:val="21"/>
        </w:rPr>
        <w:t>付款方式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1.招标人按以下方式向成交人支付费用：</w:t>
      </w:r>
    </w:p>
    <w:p>
      <w:pPr>
        <w:spacing w:line="360" w:lineRule="auto"/>
        <w:rPr>
          <w:rFonts w:hint="default" w:ascii="宋体" w:hAnsi="宋体" w:cs="宋体"/>
          <w:color w:val="auto"/>
          <w:szCs w:val="21"/>
          <w:lang w:val="en-US"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）招标人每年向成交人支付服务费：服务期第一年，招标人在合同签订后向成交人支付合同金额的</w:t>
      </w:r>
      <w:r>
        <w:rPr>
          <w:rFonts w:hint="eastAsia" w:ascii="宋体" w:hAnsi="宋体" w:cs="宋体"/>
          <w:color w:val="auto"/>
          <w:szCs w:val="21"/>
          <w:lang w:val="en-US" w:eastAsia="zh-CN"/>
        </w:rPr>
        <w:t>50%；服务期第二年，招标人在服务开始的第一个月向成交人支付剩余的50%。</w:t>
      </w:r>
    </w:p>
    <w:p>
      <w:pPr>
        <w:spacing w:line="360" w:lineRule="auto"/>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cs="宋体"/>
          <w:color w:val="auto"/>
          <w:szCs w:val="21"/>
        </w:rPr>
        <w:t>招标人凭成交人开具的等额合法的增值税发票。</w:t>
      </w:r>
    </w:p>
    <w:p>
      <w:pPr>
        <w:pStyle w:val="41"/>
        <w:spacing w:line="360" w:lineRule="auto"/>
        <w:rPr>
          <w:rFonts w:ascii="宋体" w:hAnsi="宋体" w:cs="宋体"/>
          <w:sz w:val="21"/>
          <w:szCs w:val="21"/>
        </w:rPr>
      </w:pPr>
      <w:r>
        <w:rPr>
          <w:rFonts w:hint="eastAsia" w:ascii="宋体" w:hAnsi="宋体"/>
          <w:bCs/>
          <w:kern w:val="21"/>
          <w:sz w:val="21"/>
          <w:szCs w:val="21"/>
        </w:rPr>
        <w:t>2.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r>
        <w:rPr>
          <w:rFonts w:hint="eastAsia"/>
        </w:rPr>
        <w:br w:type="page"/>
      </w:r>
    </w:p>
    <w:p>
      <w:pPr>
        <w:pStyle w:val="30"/>
        <w:jc w:val="center"/>
      </w:pPr>
      <w:r>
        <w:rPr>
          <w:rFonts w:hint="eastAsia" w:ascii="宋体" w:hAnsi="宋体" w:cs="宋体"/>
          <w:b/>
          <w:sz w:val="28"/>
          <w:szCs w:val="28"/>
        </w:rPr>
        <w:t>包组三：采购实验室小型仪器</w:t>
      </w:r>
    </w:p>
    <w:p>
      <w:pPr>
        <w:pStyle w:val="30"/>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470"/>
        <w:gridCol w:w="953"/>
        <w:gridCol w:w="2695"/>
        <w:gridCol w:w="1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szCs w:val="21"/>
              </w:rPr>
            </w:pPr>
            <w:r>
              <w:rPr>
                <w:rFonts w:hint="eastAsia" w:ascii="宋体"/>
                <w:b/>
                <w:szCs w:val="21"/>
              </w:rPr>
              <w:t>包组号</w:t>
            </w:r>
          </w:p>
        </w:tc>
        <w:tc>
          <w:tcPr>
            <w:tcW w:w="2470" w:type="dxa"/>
            <w:shd w:val="clear" w:color="auto" w:fill="EEECE1"/>
            <w:vAlign w:val="center"/>
          </w:tcPr>
          <w:p>
            <w:pPr>
              <w:jc w:val="center"/>
              <w:rPr>
                <w:rFonts w:ascii="宋体"/>
                <w:b/>
                <w:szCs w:val="21"/>
              </w:rPr>
            </w:pPr>
            <w:r>
              <w:rPr>
                <w:rFonts w:hint="eastAsia" w:ascii="宋体"/>
                <w:b/>
                <w:szCs w:val="21"/>
              </w:rPr>
              <w:t>采购内容</w:t>
            </w:r>
          </w:p>
        </w:tc>
        <w:tc>
          <w:tcPr>
            <w:tcW w:w="953" w:type="dxa"/>
            <w:shd w:val="clear" w:color="auto" w:fill="EEECE1"/>
            <w:vAlign w:val="center"/>
          </w:tcPr>
          <w:p>
            <w:pPr>
              <w:jc w:val="center"/>
              <w:rPr>
                <w:rFonts w:ascii="宋体"/>
                <w:b/>
                <w:szCs w:val="21"/>
              </w:rPr>
            </w:pPr>
            <w:r>
              <w:rPr>
                <w:rFonts w:hint="eastAsia" w:ascii="宋体"/>
                <w:b/>
                <w:szCs w:val="21"/>
              </w:rPr>
              <w:t>数量</w:t>
            </w:r>
          </w:p>
        </w:tc>
        <w:tc>
          <w:tcPr>
            <w:tcW w:w="2695" w:type="dxa"/>
            <w:shd w:val="clear" w:color="auto" w:fill="EEECE1"/>
            <w:vAlign w:val="center"/>
          </w:tcPr>
          <w:p>
            <w:pPr>
              <w:jc w:val="center"/>
              <w:rPr>
                <w:rFonts w:ascii="宋体"/>
                <w:b/>
                <w:szCs w:val="21"/>
              </w:rPr>
            </w:pPr>
            <w:r>
              <w:rPr>
                <w:rFonts w:hint="eastAsia" w:ascii="宋体"/>
                <w:b/>
                <w:szCs w:val="21"/>
              </w:rPr>
              <w:t>供货期限</w:t>
            </w:r>
          </w:p>
        </w:tc>
        <w:tc>
          <w:tcPr>
            <w:tcW w:w="1740" w:type="dxa"/>
            <w:shd w:val="clear" w:color="auto" w:fill="EEECE1"/>
            <w:vAlign w:val="center"/>
          </w:tcPr>
          <w:p>
            <w:pPr>
              <w:jc w:val="center"/>
              <w:rPr>
                <w:rFonts w:ascii="宋体"/>
                <w:b/>
                <w:szCs w:val="21"/>
              </w:rPr>
            </w:pPr>
            <w:r>
              <w:rPr>
                <w:rFonts w:hint="eastAsia" w:ascii="宋体"/>
                <w:b/>
                <w:szCs w:val="21"/>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宋体"/>
                <w:bCs/>
                <w:szCs w:val="21"/>
              </w:rPr>
            </w:pPr>
            <w:r>
              <w:rPr>
                <w:rFonts w:hint="eastAsia" w:ascii="宋体"/>
                <w:bCs/>
                <w:szCs w:val="21"/>
              </w:rPr>
              <w:t>包组三</w:t>
            </w:r>
          </w:p>
        </w:tc>
        <w:tc>
          <w:tcPr>
            <w:tcW w:w="2470" w:type="dxa"/>
            <w:vAlign w:val="center"/>
          </w:tcPr>
          <w:p>
            <w:pPr>
              <w:jc w:val="center"/>
              <w:rPr>
                <w:rFonts w:ascii="宋体"/>
                <w:bCs/>
                <w:color w:val="auto"/>
                <w:szCs w:val="21"/>
              </w:rPr>
            </w:pPr>
            <w:r>
              <w:rPr>
                <w:rFonts w:hint="eastAsia" w:ascii="宋体" w:hAnsi="宋体"/>
                <w:color w:val="auto"/>
              </w:rPr>
              <w:t>采购实验室小型仪器</w:t>
            </w:r>
          </w:p>
        </w:tc>
        <w:tc>
          <w:tcPr>
            <w:tcW w:w="953" w:type="dxa"/>
            <w:vAlign w:val="center"/>
          </w:tcPr>
          <w:p>
            <w:pPr>
              <w:jc w:val="center"/>
              <w:rPr>
                <w:rFonts w:ascii="宋体" w:hAnsi="宋体"/>
                <w:color w:val="auto"/>
              </w:rPr>
            </w:pPr>
            <w:r>
              <w:rPr>
                <w:rFonts w:hint="eastAsia" w:ascii="宋体" w:hAnsi="宋体"/>
                <w:color w:val="auto"/>
              </w:rPr>
              <w:t>1批</w:t>
            </w:r>
          </w:p>
        </w:tc>
        <w:tc>
          <w:tcPr>
            <w:tcW w:w="2695" w:type="dxa"/>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接到招标人通知后</w:t>
            </w:r>
            <w:r>
              <w:rPr>
                <w:rFonts w:ascii="宋体" w:hAnsi="宋体"/>
                <w:snapToGrid/>
                <w:color w:val="auto"/>
                <w:spacing w:val="0"/>
                <w:kern w:val="2"/>
                <w:sz w:val="21"/>
                <w:szCs w:val="21"/>
              </w:rPr>
              <w:t>30</w:t>
            </w:r>
            <w:r>
              <w:rPr>
                <w:rFonts w:hint="eastAsia" w:ascii="宋体" w:hAnsi="宋体"/>
                <w:snapToGrid/>
                <w:color w:val="auto"/>
                <w:spacing w:val="0"/>
                <w:kern w:val="2"/>
                <w:sz w:val="21"/>
                <w:szCs w:val="21"/>
              </w:rPr>
              <w:t>日内日内交货</w:t>
            </w:r>
          </w:p>
        </w:tc>
        <w:tc>
          <w:tcPr>
            <w:tcW w:w="1740" w:type="dxa"/>
            <w:vAlign w:val="center"/>
          </w:tcPr>
          <w:p>
            <w:pPr>
              <w:jc w:val="center"/>
              <w:rPr>
                <w:rFonts w:ascii="宋体" w:hAnsi="宋体"/>
                <w:color w:val="auto"/>
              </w:rPr>
            </w:pPr>
            <w:r>
              <w:rPr>
                <w:rFonts w:hint="eastAsia" w:ascii="宋体" w:hAnsi="宋体"/>
                <w:color w:val="auto"/>
              </w:rPr>
              <w:t>人民币9.57万元</w:t>
            </w:r>
          </w:p>
        </w:tc>
      </w:tr>
    </w:tbl>
    <w:p>
      <w:pPr>
        <w:pStyle w:val="30"/>
      </w:pPr>
    </w:p>
    <w:p>
      <w:pPr>
        <w:pStyle w:val="11"/>
        <w:numPr>
          <w:ilvl w:val="0"/>
          <w:numId w:val="12"/>
        </w:numPr>
        <w:tabs>
          <w:tab w:val="left" w:pos="540"/>
        </w:tabs>
        <w:autoSpaceDE/>
        <w:autoSpaceDN/>
        <w:snapToGrid w:val="0"/>
        <w:spacing w:line="360" w:lineRule="auto"/>
        <w:jc w:val="both"/>
        <w:rPr>
          <w:rFonts w:hAnsi="宋体" w:cs="宋体"/>
          <w:b/>
          <w:sz w:val="21"/>
          <w:szCs w:val="21"/>
        </w:rPr>
      </w:pPr>
      <w:r>
        <w:rPr>
          <w:rFonts w:hint="eastAsia" w:hAnsi="宋体"/>
          <w:b/>
          <w:sz w:val="21"/>
          <w:szCs w:val="21"/>
        </w:rPr>
        <w:t>采购清单</w:t>
      </w:r>
    </w:p>
    <w:p>
      <w:pPr>
        <w:numPr>
          <w:ilvl w:val="0"/>
          <w:numId w:val="13"/>
        </w:numPr>
        <w:spacing w:line="360" w:lineRule="auto"/>
        <w:rPr>
          <w:rFonts w:ascii="宋体"/>
          <w:bCs/>
          <w:szCs w:val="20"/>
        </w:rPr>
      </w:pPr>
      <w:r>
        <w:rPr>
          <w:rFonts w:hint="eastAsia" w:ascii="宋体"/>
          <w:bCs/>
          <w:szCs w:val="20"/>
        </w:rPr>
        <w:t>采购清单及限价</w:t>
      </w:r>
    </w:p>
    <w:tbl>
      <w:tblPr>
        <w:tblStyle w:val="23"/>
        <w:tblW w:w="90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180"/>
        <w:gridCol w:w="1392"/>
        <w:gridCol w:w="1447"/>
        <w:gridCol w:w="608"/>
        <w:gridCol w:w="503"/>
        <w:gridCol w:w="1099"/>
        <w:gridCol w:w="907"/>
        <w:gridCol w:w="1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jc w:val="center"/>
              <w:rPr>
                <w:rFonts w:ascii="宋体" w:hAnsi="宋体" w:cs="宋体"/>
                <w:color w:val="000000"/>
                <w:szCs w:val="21"/>
              </w:rPr>
            </w:pPr>
            <w:r>
              <w:rPr>
                <w:rFonts w:hint="eastAsia" w:ascii="宋体" w:hAnsi="宋体" w:cs="宋体"/>
                <w:color w:val="000000"/>
                <w:szCs w:val="21"/>
              </w:rPr>
              <w:t>序号</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名  称</w:t>
            </w:r>
          </w:p>
        </w:tc>
        <w:tc>
          <w:tcPr>
            <w:tcW w:w="1392" w:type="dxa"/>
            <w:vAlign w:val="center"/>
          </w:tcPr>
          <w:p>
            <w:pPr>
              <w:jc w:val="center"/>
              <w:rPr>
                <w:rFonts w:ascii="宋体" w:hAnsi="宋体" w:cs="宋体"/>
                <w:color w:val="000000"/>
                <w:szCs w:val="21"/>
              </w:rPr>
            </w:pPr>
            <w:r>
              <w:rPr>
                <w:rFonts w:hint="eastAsia" w:ascii="宋体" w:hAnsi="宋体" w:cs="宋体"/>
                <w:color w:val="000000"/>
                <w:szCs w:val="21"/>
              </w:rPr>
              <w:t>规格</w:t>
            </w:r>
          </w:p>
        </w:tc>
        <w:tc>
          <w:tcPr>
            <w:tcW w:w="1447" w:type="dxa"/>
            <w:vAlign w:val="center"/>
          </w:tcPr>
          <w:p>
            <w:pPr>
              <w:jc w:val="center"/>
              <w:rPr>
                <w:rFonts w:ascii="宋体" w:hAnsi="宋体" w:cs="宋体"/>
                <w:szCs w:val="21"/>
              </w:rPr>
            </w:pPr>
            <w:r>
              <w:rPr>
                <w:rFonts w:hint="eastAsia" w:ascii="宋体" w:hAnsi="宋体" w:cs="宋体"/>
                <w:szCs w:val="21"/>
              </w:rPr>
              <w:t>品牌或厂家</w:t>
            </w:r>
          </w:p>
        </w:tc>
        <w:tc>
          <w:tcPr>
            <w:tcW w:w="608" w:type="dxa"/>
            <w:vAlign w:val="center"/>
          </w:tcPr>
          <w:p>
            <w:pPr>
              <w:jc w:val="center"/>
              <w:rPr>
                <w:rFonts w:ascii="宋体" w:hAnsi="宋体" w:cs="宋体"/>
                <w:szCs w:val="21"/>
              </w:rPr>
            </w:pPr>
            <w:r>
              <w:rPr>
                <w:rFonts w:hint="eastAsia" w:ascii="宋体" w:hAnsi="宋体" w:cs="宋体"/>
                <w:szCs w:val="21"/>
              </w:rPr>
              <w:t>数量</w:t>
            </w:r>
          </w:p>
        </w:tc>
        <w:tc>
          <w:tcPr>
            <w:tcW w:w="503" w:type="dxa"/>
            <w:vAlign w:val="center"/>
          </w:tcPr>
          <w:p>
            <w:pPr>
              <w:jc w:val="center"/>
              <w:rPr>
                <w:rFonts w:ascii="宋体" w:hAnsi="宋体" w:cs="宋体"/>
                <w:szCs w:val="21"/>
              </w:rPr>
            </w:pPr>
            <w:r>
              <w:rPr>
                <w:rFonts w:hint="eastAsia" w:ascii="宋体" w:hAnsi="宋体" w:cs="宋体"/>
                <w:szCs w:val="21"/>
              </w:rPr>
              <w:t>单位</w:t>
            </w:r>
          </w:p>
        </w:tc>
        <w:tc>
          <w:tcPr>
            <w:tcW w:w="1099" w:type="dxa"/>
            <w:vAlign w:val="center"/>
          </w:tcPr>
          <w:p>
            <w:pPr>
              <w:ind w:left="102"/>
              <w:jc w:val="center"/>
              <w:rPr>
                <w:rFonts w:ascii="宋体" w:hAnsi="宋体" w:cs="宋体"/>
                <w:szCs w:val="21"/>
              </w:rPr>
            </w:pPr>
            <w:r>
              <w:rPr>
                <w:rFonts w:hint="eastAsia" w:ascii="宋体" w:hAnsi="宋体" w:cs="宋体"/>
                <w:szCs w:val="21"/>
              </w:rPr>
              <w:t>单价限价（元）</w:t>
            </w:r>
          </w:p>
        </w:tc>
        <w:tc>
          <w:tcPr>
            <w:tcW w:w="907" w:type="dxa"/>
            <w:vAlign w:val="center"/>
          </w:tcPr>
          <w:p>
            <w:pPr>
              <w:ind w:left="102"/>
              <w:jc w:val="center"/>
              <w:rPr>
                <w:rFonts w:ascii="宋体" w:hAnsi="宋体" w:cs="宋体"/>
                <w:color w:val="000000"/>
                <w:szCs w:val="21"/>
              </w:rPr>
            </w:pPr>
            <w:r>
              <w:rPr>
                <w:rFonts w:hint="eastAsia" w:ascii="宋体" w:hAnsi="宋体" w:cs="宋体"/>
                <w:color w:val="000000"/>
                <w:szCs w:val="21"/>
              </w:rPr>
              <w:t>金额</w:t>
            </w:r>
          </w:p>
        </w:tc>
        <w:tc>
          <w:tcPr>
            <w:tcW w:w="1372" w:type="dxa"/>
            <w:vAlign w:val="center"/>
          </w:tcPr>
          <w:p>
            <w:pPr>
              <w:ind w:left="102"/>
              <w:jc w:val="center"/>
              <w:rPr>
                <w:rFonts w:ascii="宋体" w:hAnsi="宋体" w:cs="宋体"/>
                <w:color w:val="000000"/>
                <w:szCs w:val="21"/>
              </w:rPr>
            </w:pPr>
            <w:r>
              <w:rPr>
                <w:rFonts w:hint="eastAsia" w:ascii="宋体" w:hAnsi="宋体" w:cs="宋体"/>
                <w:color w:val="000000"/>
                <w:szCs w:val="21"/>
              </w:rPr>
              <w:t>货号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1</w:t>
            </w:r>
          </w:p>
        </w:tc>
        <w:tc>
          <w:tcPr>
            <w:tcW w:w="118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电子天平</w:t>
            </w:r>
          </w:p>
        </w:tc>
        <w:tc>
          <w:tcPr>
            <w:tcW w:w="1392" w:type="dxa"/>
            <w:vAlign w:val="center"/>
          </w:tcPr>
          <w:p>
            <w:pPr>
              <w:jc w:val="center"/>
              <w:rPr>
                <w:rFonts w:ascii="宋体" w:hAnsi="宋体" w:cs="宋体"/>
                <w:color w:val="000000"/>
                <w:szCs w:val="21"/>
              </w:rPr>
            </w:pPr>
            <w:r>
              <w:rPr>
                <w:rFonts w:hint="eastAsia" w:ascii="宋体" w:hAnsi="宋体" w:cs="宋体"/>
                <w:color w:val="000000"/>
                <w:szCs w:val="21"/>
              </w:rPr>
              <w:t>百分之一</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赛多利斯</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台</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8000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8000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BSA223S-CW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2</w:t>
            </w:r>
          </w:p>
        </w:tc>
        <w:tc>
          <w:tcPr>
            <w:tcW w:w="1180"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电子天平</w:t>
            </w:r>
          </w:p>
        </w:tc>
        <w:tc>
          <w:tcPr>
            <w:tcW w:w="1392" w:type="dxa"/>
            <w:vAlign w:val="center"/>
          </w:tcPr>
          <w:p>
            <w:pPr>
              <w:jc w:val="center"/>
              <w:rPr>
                <w:rFonts w:ascii="宋体" w:hAnsi="宋体" w:cs="宋体"/>
                <w:color w:val="000000"/>
                <w:szCs w:val="21"/>
              </w:rPr>
            </w:pPr>
            <w:r>
              <w:rPr>
                <w:rFonts w:hint="eastAsia" w:ascii="宋体" w:hAnsi="宋体" w:cs="宋体"/>
                <w:color w:val="000000"/>
                <w:szCs w:val="21"/>
              </w:rPr>
              <w:t>千分之一</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赛多利斯</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台</w:t>
            </w:r>
          </w:p>
        </w:tc>
        <w:tc>
          <w:tcPr>
            <w:tcW w:w="1099" w:type="dxa"/>
            <w:vAlign w:val="center"/>
          </w:tcPr>
          <w:p>
            <w:pPr>
              <w:jc w:val="center"/>
              <w:rPr>
                <w:rFonts w:ascii="宋体" w:hAnsi="宋体" w:cs="宋体"/>
                <w:color w:val="000000"/>
                <w:szCs w:val="21"/>
              </w:rPr>
            </w:pPr>
            <w:r>
              <w:rPr>
                <w:rFonts w:hint="eastAsia"/>
              </w:rPr>
              <w:t>8800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8800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BSA2202S-CW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3</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电动移液器</w:t>
            </w:r>
          </w:p>
        </w:tc>
        <w:tc>
          <w:tcPr>
            <w:tcW w:w="1392" w:type="dxa"/>
            <w:vAlign w:val="center"/>
          </w:tcPr>
          <w:p>
            <w:pPr>
              <w:jc w:val="center"/>
              <w:rPr>
                <w:rFonts w:ascii="宋体" w:hAnsi="宋体" w:cs="宋体"/>
                <w:color w:val="000000"/>
                <w:szCs w:val="21"/>
              </w:rPr>
            </w:pPr>
            <w:r>
              <w:rPr>
                <w:rFonts w:hint="eastAsia" w:ascii="宋体" w:hAnsi="宋体" w:cs="宋体"/>
                <w:color w:val="000000"/>
                <w:szCs w:val="21"/>
              </w:rPr>
              <w:t>50-1250μL</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瑞士IBS（INTEGR）</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支</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7200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14400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4</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瓶口分液器</w:t>
            </w:r>
          </w:p>
        </w:tc>
        <w:tc>
          <w:tcPr>
            <w:tcW w:w="1392" w:type="dxa"/>
            <w:vAlign w:val="center"/>
          </w:tcPr>
          <w:p>
            <w:pPr>
              <w:jc w:val="center"/>
              <w:rPr>
                <w:rFonts w:ascii="宋体" w:hAnsi="宋体" w:cs="宋体"/>
                <w:color w:val="000000"/>
                <w:szCs w:val="21"/>
              </w:rPr>
            </w:pPr>
            <w:r>
              <w:rPr>
                <w:rFonts w:hint="eastAsia" w:ascii="宋体" w:hAnsi="宋体" w:cs="宋体"/>
                <w:color w:val="000000"/>
                <w:szCs w:val="21"/>
              </w:rPr>
              <w:t>10-60mL（PP）</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德国赫施曼实验室仪器</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支</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6800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13600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9361999带安全阀和防倾倒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5</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数显变频真空泵</w:t>
            </w:r>
          </w:p>
        </w:tc>
        <w:tc>
          <w:tcPr>
            <w:tcW w:w="1392" w:type="dxa"/>
            <w:vAlign w:val="center"/>
          </w:tcPr>
          <w:p>
            <w:pPr>
              <w:jc w:val="center"/>
              <w:rPr>
                <w:rFonts w:hint="eastAsia" w:ascii="宋体" w:hAnsi="宋体" w:eastAsia="宋体" w:cs="宋体"/>
                <w:color w:val="000000"/>
                <w:szCs w:val="21"/>
                <w:lang w:val="en-US" w:eastAsia="zh-CN"/>
              </w:rPr>
            </w:pPr>
            <w:r>
              <w:rPr>
                <w:rFonts w:hint="eastAsia"/>
                <w:lang w:val="en-US" w:eastAsia="zh-CN"/>
              </w:rPr>
              <w:t>/</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Vacstar digital IKA</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台</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16800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16800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S025 数显型真空泵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6</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真空控制器</w:t>
            </w:r>
          </w:p>
        </w:tc>
        <w:tc>
          <w:tcPr>
            <w:tcW w:w="1392"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VC 10 IKA</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台</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15500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15500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36" w:type="dxa"/>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2"/>
                <w:lang w:bidi="ar"/>
              </w:rPr>
              <w:t>7</w:t>
            </w:r>
          </w:p>
        </w:tc>
        <w:tc>
          <w:tcPr>
            <w:tcW w:w="1180" w:type="dxa"/>
            <w:vAlign w:val="center"/>
          </w:tcPr>
          <w:p>
            <w:pPr>
              <w:jc w:val="center"/>
              <w:rPr>
                <w:rFonts w:ascii="宋体" w:hAnsi="宋体" w:cs="宋体"/>
                <w:color w:val="000000"/>
                <w:szCs w:val="21"/>
              </w:rPr>
            </w:pPr>
            <w:r>
              <w:rPr>
                <w:rFonts w:hint="eastAsia" w:ascii="宋体" w:hAnsi="宋体" w:cs="宋体"/>
                <w:color w:val="000000"/>
                <w:szCs w:val="21"/>
              </w:rPr>
              <w:t>冷却循环器</w:t>
            </w:r>
          </w:p>
        </w:tc>
        <w:tc>
          <w:tcPr>
            <w:tcW w:w="1392"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w:t>
            </w:r>
          </w:p>
        </w:tc>
        <w:tc>
          <w:tcPr>
            <w:tcW w:w="1447" w:type="dxa"/>
            <w:vAlign w:val="center"/>
          </w:tcPr>
          <w:p>
            <w:pPr>
              <w:jc w:val="center"/>
              <w:rPr>
                <w:rFonts w:ascii="宋体" w:hAnsi="宋体" w:cs="宋体"/>
                <w:color w:val="000000"/>
                <w:szCs w:val="21"/>
              </w:rPr>
            </w:pPr>
            <w:r>
              <w:rPr>
                <w:rFonts w:hint="eastAsia" w:ascii="宋体" w:hAnsi="宋体" w:cs="宋体"/>
                <w:color w:val="000000"/>
                <w:szCs w:val="21"/>
              </w:rPr>
              <w:t>CS6 Chemtron</w:t>
            </w:r>
          </w:p>
        </w:tc>
        <w:tc>
          <w:tcPr>
            <w:tcW w:w="6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503" w:type="dxa"/>
            <w:vAlign w:val="center"/>
          </w:tcPr>
          <w:p>
            <w:pPr>
              <w:jc w:val="center"/>
              <w:rPr>
                <w:rFonts w:ascii="宋体" w:hAnsi="宋体" w:cs="宋体"/>
                <w:color w:val="000000"/>
                <w:szCs w:val="21"/>
              </w:rPr>
            </w:pPr>
            <w:r>
              <w:rPr>
                <w:rFonts w:hint="eastAsia" w:ascii="宋体" w:hAnsi="宋体" w:cs="宋体"/>
                <w:color w:val="000000"/>
                <w:szCs w:val="21"/>
              </w:rPr>
              <w:t>台</w:t>
            </w:r>
          </w:p>
        </w:tc>
        <w:tc>
          <w:tcPr>
            <w:tcW w:w="1099" w:type="dxa"/>
            <w:vAlign w:val="center"/>
          </w:tcPr>
          <w:p>
            <w:pPr>
              <w:jc w:val="center"/>
              <w:rPr>
                <w:rFonts w:ascii="宋体" w:hAnsi="宋体" w:cs="宋体"/>
                <w:color w:val="000000"/>
                <w:szCs w:val="21"/>
              </w:rPr>
            </w:pPr>
            <w:r>
              <w:rPr>
                <w:rFonts w:hint="eastAsia" w:ascii="宋体" w:hAnsi="宋体" w:cs="宋体"/>
                <w:color w:val="000000"/>
                <w:szCs w:val="21"/>
              </w:rPr>
              <w:t>18600</w:t>
            </w:r>
          </w:p>
        </w:tc>
        <w:tc>
          <w:tcPr>
            <w:tcW w:w="907" w:type="dxa"/>
            <w:vAlign w:val="center"/>
          </w:tcPr>
          <w:p>
            <w:pPr>
              <w:jc w:val="center"/>
              <w:rPr>
                <w:rFonts w:ascii="宋体" w:hAnsi="宋体" w:cs="宋体"/>
                <w:color w:val="000000"/>
                <w:szCs w:val="21"/>
              </w:rPr>
            </w:pPr>
            <w:r>
              <w:rPr>
                <w:rFonts w:hint="eastAsia" w:ascii="宋体" w:hAnsi="宋体" w:cs="宋体"/>
                <w:color w:val="000000"/>
                <w:szCs w:val="21"/>
              </w:rPr>
              <w:t>18600</w:t>
            </w:r>
          </w:p>
        </w:tc>
        <w:tc>
          <w:tcPr>
            <w:tcW w:w="1372" w:type="dxa"/>
            <w:vAlign w:val="center"/>
          </w:tcPr>
          <w:p>
            <w:pPr>
              <w:jc w:val="center"/>
              <w:rPr>
                <w:rFonts w:ascii="宋体" w:hAnsi="宋体" w:cs="宋体"/>
                <w:color w:val="000000"/>
                <w:szCs w:val="21"/>
              </w:rPr>
            </w:pPr>
            <w:r>
              <w:rPr>
                <w:rFonts w:hint="eastAsia" w:ascii="宋体" w:hAnsi="宋体" w:cs="宋体"/>
                <w:color w:val="000000"/>
                <w:szCs w:val="21"/>
              </w:rPr>
              <w:t>/</w:t>
            </w:r>
          </w:p>
        </w:tc>
      </w:tr>
    </w:tbl>
    <w:p>
      <w:pPr>
        <w:pStyle w:val="11"/>
        <w:numPr>
          <w:ilvl w:val="0"/>
          <w:numId w:val="12"/>
        </w:numPr>
        <w:tabs>
          <w:tab w:val="left" w:pos="540"/>
        </w:tabs>
        <w:autoSpaceDE/>
        <w:autoSpaceDN/>
        <w:snapToGrid w:val="0"/>
        <w:spacing w:line="360" w:lineRule="auto"/>
        <w:jc w:val="both"/>
        <w:rPr>
          <w:rFonts w:hAnsi="宋体" w:cs="宋体"/>
          <w:b/>
          <w:sz w:val="21"/>
          <w:szCs w:val="21"/>
        </w:rPr>
      </w:pPr>
      <w:r>
        <w:rPr>
          <w:rFonts w:hint="eastAsia" w:hAnsi="宋体" w:cs="宋体"/>
          <w:b/>
          <w:sz w:val="21"/>
          <w:szCs w:val="21"/>
        </w:rPr>
        <w:t>保险及发运、保管要求</w:t>
      </w:r>
    </w:p>
    <w:p>
      <w:pPr>
        <w:pStyle w:val="11"/>
        <w:numPr>
          <w:ilvl w:val="0"/>
          <w:numId w:val="14"/>
        </w:numPr>
        <w:tabs>
          <w:tab w:val="left" w:pos="2340"/>
        </w:tabs>
        <w:snapToGrid w:val="0"/>
        <w:spacing w:line="360" w:lineRule="auto"/>
        <w:rPr>
          <w:sz w:val="21"/>
        </w:rPr>
      </w:pPr>
      <w:r>
        <w:rPr>
          <w:rFonts w:hint="eastAsia"/>
          <w:sz w:val="21"/>
        </w:rPr>
        <w:t>成交人负责将货物运至现场过程中的全部运输，包括装卸车、货物现场的搬运。</w:t>
      </w:r>
    </w:p>
    <w:p>
      <w:pPr>
        <w:pStyle w:val="11"/>
        <w:numPr>
          <w:ilvl w:val="0"/>
          <w:numId w:val="14"/>
        </w:numPr>
        <w:tabs>
          <w:tab w:val="left" w:pos="2340"/>
        </w:tabs>
        <w:snapToGrid w:val="0"/>
        <w:spacing w:line="360" w:lineRule="auto"/>
        <w:rPr>
          <w:sz w:val="21"/>
        </w:rPr>
      </w:pPr>
      <w:r>
        <w:rPr>
          <w:rFonts w:hint="eastAsia"/>
          <w:sz w:val="21"/>
        </w:rPr>
        <w:t>货物必须提供装箱清单，按装箱清单验收货物。</w:t>
      </w:r>
    </w:p>
    <w:p>
      <w:pPr>
        <w:pStyle w:val="11"/>
        <w:numPr>
          <w:ilvl w:val="0"/>
          <w:numId w:val="14"/>
        </w:numPr>
        <w:tabs>
          <w:tab w:val="left" w:pos="2340"/>
        </w:tabs>
        <w:snapToGrid w:val="0"/>
        <w:spacing w:line="360" w:lineRule="auto"/>
        <w:rPr>
          <w:sz w:val="21"/>
        </w:rPr>
      </w:pPr>
      <w:r>
        <w:rPr>
          <w:rFonts w:hint="eastAsia"/>
          <w:sz w:val="21"/>
        </w:rPr>
        <w:t>货物在现场的保管由成交人负责，直至验收完毕。</w:t>
      </w:r>
    </w:p>
    <w:p>
      <w:pPr>
        <w:pStyle w:val="11"/>
        <w:numPr>
          <w:ilvl w:val="0"/>
          <w:numId w:val="14"/>
        </w:numPr>
        <w:tabs>
          <w:tab w:val="left" w:pos="2340"/>
        </w:tabs>
        <w:snapToGrid w:val="0"/>
        <w:spacing w:line="360" w:lineRule="auto"/>
        <w:rPr>
          <w:sz w:val="21"/>
        </w:rPr>
      </w:pPr>
      <w:r>
        <w:rPr>
          <w:rFonts w:hint="eastAsia"/>
          <w:sz w:val="21"/>
        </w:rPr>
        <w:t>货物在验收合格前的保险由成交人负责，成交人负责其派出的现场服务人员人身意外保险。</w:t>
      </w:r>
    </w:p>
    <w:p>
      <w:pPr>
        <w:pStyle w:val="11"/>
        <w:numPr>
          <w:ilvl w:val="0"/>
          <w:numId w:val="14"/>
        </w:numPr>
        <w:tabs>
          <w:tab w:val="left" w:pos="2340"/>
        </w:tabs>
        <w:snapToGrid w:val="0"/>
        <w:spacing w:line="360" w:lineRule="auto"/>
      </w:pPr>
      <w:r>
        <w:rPr>
          <w:rFonts w:hint="eastAsia"/>
          <w:sz w:val="21"/>
        </w:rPr>
        <w:t>货物至招标人指定的使用现场的包装、保险及发运等环节和费用均由成交人负责。</w:t>
      </w:r>
    </w:p>
    <w:p>
      <w:pPr>
        <w:pStyle w:val="11"/>
        <w:numPr>
          <w:ilvl w:val="0"/>
          <w:numId w:val="12"/>
        </w:numPr>
        <w:tabs>
          <w:tab w:val="left" w:pos="540"/>
        </w:tabs>
        <w:autoSpaceDE/>
        <w:autoSpaceDN/>
        <w:snapToGrid w:val="0"/>
        <w:spacing w:line="360" w:lineRule="auto"/>
        <w:jc w:val="both"/>
        <w:rPr>
          <w:rFonts w:hAnsi="宋体" w:cs="宋体"/>
          <w:b/>
          <w:sz w:val="21"/>
          <w:szCs w:val="21"/>
        </w:rPr>
      </w:pPr>
      <w:bookmarkStart w:id="39" w:name="_GoBack"/>
      <w:bookmarkEnd w:id="39"/>
      <w:r>
        <w:rPr>
          <w:rFonts w:hint="eastAsia" w:hAnsi="宋体" w:cs="宋体"/>
          <w:b/>
          <w:sz w:val="21"/>
          <w:szCs w:val="21"/>
        </w:rPr>
        <w:t>质保期及售后服务要求</w:t>
      </w:r>
    </w:p>
    <w:p>
      <w:pPr>
        <w:pStyle w:val="11"/>
        <w:numPr>
          <w:ilvl w:val="0"/>
          <w:numId w:val="15"/>
        </w:numPr>
        <w:tabs>
          <w:tab w:val="left" w:pos="2340"/>
        </w:tabs>
        <w:snapToGrid w:val="0"/>
        <w:spacing w:line="360" w:lineRule="auto"/>
        <w:rPr>
          <w:color w:val="auto"/>
          <w:sz w:val="21"/>
        </w:rPr>
      </w:pPr>
      <w:r>
        <w:rPr>
          <w:rFonts w:hint="eastAsia"/>
          <w:color w:val="auto"/>
          <w:sz w:val="21"/>
        </w:rPr>
        <w:t>产品保质期为一年。</w:t>
      </w:r>
    </w:p>
    <w:p>
      <w:pPr>
        <w:pStyle w:val="11"/>
        <w:numPr>
          <w:ilvl w:val="0"/>
          <w:numId w:val="15"/>
        </w:numPr>
        <w:tabs>
          <w:tab w:val="left" w:pos="2340"/>
        </w:tabs>
        <w:snapToGrid w:val="0"/>
        <w:spacing w:line="360" w:lineRule="auto"/>
        <w:rPr>
          <w:sz w:val="21"/>
        </w:rPr>
      </w:pPr>
      <w:r>
        <w:rPr>
          <w:rFonts w:hint="eastAsia"/>
          <w:sz w:val="21"/>
        </w:rPr>
        <w:t>质保期内，招标人对货物进行期间抽检，若出现货物质量问题，成交人须在接到招标人方通知（书面、传真、短信等方式）后三个工作日内无条件调整或更换货物，若三个工作日内未能更换合格货物或更换的货物仍达不到验收要求的，招标人有权解除合同；</w:t>
      </w:r>
    </w:p>
    <w:p>
      <w:pPr>
        <w:pStyle w:val="11"/>
        <w:numPr>
          <w:ilvl w:val="0"/>
          <w:numId w:val="15"/>
        </w:numPr>
        <w:tabs>
          <w:tab w:val="left" w:pos="2340"/>
        </w:tabs>
        <w:snapToGrid w:val="0"/>
        <w:spacing w:line="360" w:lineRule="auto"/>
        <w:rPr>
          <w:sz w:val="21"/>
        </w:rPr>
      </w:pPr>
      <w:r>
        <w:rPr>
          <w:rFonts w:hint="eastAsia"/>
          <w:sz w:val="21"/>
        </w:rPr>
        <w:t>成交人负责所有因货物质量问题而产生的费用；</w:t>
      </w:r>
    </w:p>
    <w:p>
      <w:pPr>
        <w:pStyle w:val="11"/>
        <w:numPr>
          <w:ilvl w:val="0"/>
          <w:numId w:val="12"/>
        </w:numPr>
        <w:tabs>
          <w:tab w:val="left" w:pos="540"/>
        </w:tabs>
        <w:autoSpaceDE/>
        <w:autoSpaceDN/>
        <w:snapToGrid w:val="0"/>
        <w:spacing w:line="360" w:lineRule="auto"/>
        <w:jc w:val="both"/>
        <w:rPr>
          <w:rFonts w:hAnsi="宋体" w:cs="宋体"/>
          <w:b/>
          <w:sz w:val="21"/>
          <w:szCs w:val="21"/>
        </w:rPr>
      </w:pPr>
      <w:r>
        <w:rPr>
          <w:rFonts w:hint="eastAsia" w:hAnsi="宋体" w:cs="宋体"/>
          <w:b/>
          <w:sz w:val="21"/>
          <w:szCs w:val="21"/>
        </w:rPr>
        <w:t>付款方式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1.招标人按以下方式向成交人支付费用：</w:t>
      </w:r>
    </w:p>
    <w:p>
      <w:pPr>
        <w:spacing w:line="360" w:lineRule="auto"/>
        <w:ind w:firstLine="420" w:firstLineChars="200"/>
        <w:rPr>
          <w:rFonts w:ascii="宋体" w:hAnsi="宋体" w:cs="宋体"/>
          <w:color w:val="auto"/>
          <w:szCs w:val="21"/>
        </w:rPr>
      </w:pPr>
      <w:r>
        <w:rPr>
          <w:rFonts w:hint="eastAsia" w:ascii="宋体" w:hAnsi="宋体" w:cs="宋体"/>
          <w:color w:val="auto"/>
          <w:szCs w:val="21"/>
        </w:rPr>
        <w:t>（1）合同签订生效，货物交付并过招标人验收确认后，招标人凭成交人开具的等额合法的增值税发票，于10个工作日内支付合同</w:t>
      </w:r>
      <w:r>
        <w:rPr>
          <w:rFonts w:ascii="宋体" w:hAnsi="宋体" w:cs="宋体"/>
          <w:color w:val="auto"/>
          <w:szCs w:val="21"/>
        </w:rPr>
        <w:t>金额</w:t>
      </w:r>
      <w:r>
        <w:rPr>
          <w:rFonts w:hint="eastAsia" w:ascii="宋体" w:hAnsi="宋体" w:cs="宋体"/>
          <w:color w:val="auto"/>
          <w:szCs w:val="21"/>
        </w:rPr>
        <w:t>。</w:t>
      </w:r>
    </w:p>
    <w:p>
      <w:pPr>
        <w:pStyle w:val="41"/>
        <w:spacing w:line="360" w:lineRule="auto"/>
        <w:rPr>
          <w:rFonts w:ascii="宋体" w:hAnsi="宋体" w:cs="宋体"/>
          <w:sz w:val="21"/>
          <w:szCs w:val="21"/>
        </w:rPr>
      </w:pPr>
      <w:r>
        <w:rPr>
          <w:rFonts w:hint="eastAsia" w:ascii="宋体" w:hAnsi="宋体"/>
          <w:bCs/>
          <w:color w:val="auto"/>
          <w:kern w:val="21"/>
          <w:sz w:val="21"/>
          <w:szCs w:val="21"/>
        </w:rPr>
        <w:t>2.因招标人使用的是财政资金，按照前款规定的付款时间，招标人在收到成交人发票后5个</w:t>
      </w:r>
      <w:r>
        <w:rPr>
          <w:rFonts w:hint="eastAsia" w:ascii="宋体" w:hAnsi="宋体"/>
          <w:bCs/>
          <w:kern w:val="21"/>
          <w:sz w:val="21"/>
          <w:szCs w:val="21"/>
        </w:rPr>
        <w:t>工作日内向政府支付部门提出办理财政支付申请手续（不含政府财政支付部门审核的时间），在规定时间内提出支付申请手续后即视为招标人已经按期支付。</w:t>
      </w:r>
    </w:p>
    <w:p>
      <w:pPr>
        <w:spacing w:line="360" w:lineRule="auto"/>
        <w:jc w:val="center"/>
        <w:rPr>
          <w:rFonts w:ascii="宋体" w:hAnsi="宋体" w:cs="宋体"/>
          <w:b/>
          <w:bCs/>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pStyle w:val="30"/>
        <w:rPr>
          <w:rFonts w:ascii="宋体" w:hAnsi="宋体" w:cs="宋体"/>
          <w:b/>
          <w:sz w:val="21"/>
          <w:szCs w:val="21"/>
        </w:rPr>
      </w:pPr>
    </w:p>
    <w:p>
      <w:pPr>
        <w:rPr>
          <w:rFonts w:ascii="宋体" w:hAnsi="宋体" w:cs="宋体"/>
          <w:b/>
          <w:bCs/>
          <w:szCs w:val="21"/>
        </w:rPr>
      </w:pPr>
      <w:r>
        <w:rPr>
          <w:rFonts w:hint="eastAsia" w:ascii="宋体" w:hAnsi="宋体" w:cs="宋体"/>
          <w:b/>
          <w:bCs/>
          <w:szCs w:val="21"/>
        </w:rPr>
        <w:br w:type="page"/>
      </w:r>
    </w:p>
    <w:p>
      <w:pPr>
        <w:spacing w:line="360" w:lineRule="auto"/>
        <w:jc w:val="center"/>
        <w:rPr>
          <w:rFonts w:ascii="宋体" w:hAnsi="宋体" w:cs="宋体"/>
          <w:b/>
          <w:bCs/>
          <w:sz w:val="28"/>
          <w:szCs w:val="28"/>
        </w:rPr>
      </w:pPr>
      <w:r>
        <w:rPr>
          <w:rFonts w:hint="eastAsia" w:ascii="宋体" w:hAnsi="宋体" w:cs="宋体"/>
          <w:b/>
          <w:bCs/>
          <w:sz w:val="28"/>
          <w:szCs w:val="28"/>
        </w:rPr>
        <w:t>包组四：实验室试剂和耗材</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2023"/>
        <w:gridCol w:w="792"/>
        <w:gridCol w:w="3411"/>
        <w:gridCol w:w="1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1" w:hRule="atLeast"/>
          <w:jc w:val="center"/>
        </w:trPr>
        <w:tc>
          <w:tcPr>
            <w:tcW w:w="933" w:type="dxa"/>
            <w:shd w:val="clear" w:color="auto" w:fill="EEECE1"/>
            <w:vAlign w:val="center"/>
          </w:tcPr>
          <w:p>
            <w:pPr>
              <w:jc w:val="center"/>
              <w:rPr>
                <w:rFonts w:ascii="宋体"/>
                <w:b/>
                <w:szCs w:val="21"/>
              </w:rPr>
            </w:pPr>
            <w:r>
              <w:rPr>
                <w:rFonts w:hint="eastAsia" w:ascii="宋体"/>
                <w:b/>
                <w:szCs w:val="21"/>
              </w:rPr>
              <w:t>包组号</w:t>
            </w:r>
          </w:p>
        </w:tc>
        <w:tc>
          <w:tcPr>
            <w:tcW w:w="2023" w:type="dxa"/>
            <w:shd w:val="clear" w:color="auto" w:fill="EEECE1"/>
            <w:vAlign w:val="center"/>
          </w:tcPr>
          <w:p>
            <w:pPr>
              <w:jc w:val="center"/>
              <w:rPr>
                <w:rFonts w:ascii="宋体"/>
                <w:b/>
                <w:szCs w:val="21"/>
              </w:rPr>
            </w:pPr>
            <w:r>
              <w:rPr>
                <w:rFonts w:hint="eastAsia" w:ascii="宋体"/>
                <w:b/>
                <w:szCs w:val="21"/>
              </w:rPr>
              <w:t>采购内容</w:t>
            </w:r>
          </w:p>
        </w:tc>
        <w:tc>
          <w:tcPr>
            <w:tcW w:w="792" w:type="dxa"/>
            <w:shd w:val="clear" w:color="auto" w:fill="EEECE1"/>
            <w:vAlign w:val="center"/>
          </w:tcPr>
          <w:p>
            <w:pPr>
              <w:jc w:val="center"/>
              <w:rPr>
                <w:rFonts w:ascii="宋体"/>
                <w:b/>
                <w:szCs w:val="21"/>
              </w:rPr>
            </w:pPr>
            <w:r>
              <w:rPr>
                <w:rFonts w:hint="eastAsia" w:ascii="宋体"/>
                <w:b/>
                <w:szCs w:val="21"/>
              </w:rPr>
              <w:t>数量</w:t>
            </w:r>
          </w:p>
        </w:tc>
        <w:tc>
          <w:tcPr>
            <w:tcW w:w="3411" w:type="dxa"/>
            <w:shd w:val="clear" w:color="auto" w:fill="EEECE1"/>
            <w:vAlign w:val="center"/>
          </w:tcPr>
          <w:p>
            <w:pPr>
              <w:jc w:val="center"/>
              <w:rPr>
                <w:rFonts w:ascii="宋体"/>
                <w:b/>
                <w:szCs w:val="21"/>
              </w:rPr>
            </w:pPr>
            <w:r>
              <w:rPr>
                <w:rFonts w:hint="eastAsia" w:ascii="宋体"/>
                <w:b/>
                <w:szCs w:val="21"/>
              </w:rPr>
              <w:t>供货期限</w:t>
            </w:r>
          </w:p>
        </w:tc>
        <w:tc>
          <w:tcPr>
            <w:tcW w:w="1632" w:type="dxa"/>
            <w:shd w:val="clear" w:color="auto" w:fill="EEECE1"/>
            <w:vAlign w:val="center"/>
          </w:tcPr>
          <w:p>
            <w:pPr>
              <w:jc w:val="center"/>
              <w:rPr>
                <w:rFonts w:ascii="宋体"/>
                <w:b/>
                <w:szCs w:val="21"/>
              </w:rPr>
            </w:pPr>
            <w:r>
              <w:rPr>
                <w:rFonts w:hint="eastAsia" w:ascii="宋体"/>
                <w:b/>
                <w:szCs w:val="21"/>
              </w:rPr>
              <w:t>采购预算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宋体"/>
                <w:bCs/>
                <w:color w:val="auto"/>
                <w:szCs w:val="21"/>
              </w:rPr>
            </w:pPr>
            <w:r>
              <w:rPr>
                <w:rFonts w:hint="eastAsia" w:ascii="宋体"/>
                <w:bCs/>
                <w:color w:val="auto"/>
                <w:szCs w:val="21"/>
              </w:rPr>
              <w:t>包组四</w:t>
            </w:r>
          </w:p>
        </w:tc>
        <w:tc>
          <w:tcPr>
            <w:tcW w:w="2023" w:type="dxa"/>
            <w:vAlign w:val="center"/>
          </w:tcPr>
          <w:p>
            <w:pPr>
              <w:jc w:val="center"/>
              <w:rPr>
                <w:rFonts w:ascii="宋体"/>
                <w:bCs/>
                <w:color w:val="auto"/>
                <w:szCs w:val="21"/>
              </w:rPr>
            </w:pPr>
            <w:r>
              <w:rPr>
                <w:rFonts w:hint="eastAsia" w:ascii="宋体" w:hAnsi="宋体"/>
                <w:color w:val="auto"/>
              </w:rPr>
              <w:t>实验室试剂和耗材</w:t>
            </w:r>
          </w:p>
        </w:tc>
        <w:tc>
          <w:tcPr>
            <w:tcW w:w="792" w:type="dxa"/>
            <w:vAlign w:val="center"/>
          </w:tcPr>
          <w:p>
            <w:pPr>
              <w:jc w:val="center"/>
              <w:rPr>
                <w:rFonts w:ascii="宋体" w:hAnsi="宋体"/>
                <w:color w:val="auto"/>
              </w:rPr>
            </w:pPr>
            <w:r>
              <w:rPr>
                <w:rFonts w:hint="eastAsia" w:ascii="宋体" w:hAnsi="宋体"/>
                <w:color w:val="auto"/>
              </w:rPr>
              <w:t>1批</w:t>
            </w:r>
          </w:p>
        </w:tc>
        <w:tc>
          <w:tcPr>
            <w:tcW w:w="3411" w:type="dxa"/>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供货期限为自合同签订起至2023年12月31日，每次供货在接到招标人通知</w:t>
            </w:r>
            <w:r>
              <w:rPr>
                <w:rFonts w:ascii="宋体" w:hAnsi="宋体"/>
                <w:snapToGrid/>
                <w:color w:val="auto"/>
                <w:spacing w:val="0"/>
                <w:kern w:val="2"/>
                <w:sz w:val="21"/>
                <w:szCs w:val="21"/>
              </w:rPr>
              <w:t>2</w:t>
            </w:r>
            <w:r>
              <w:rPr>
                <w:rFonts w:hint="eastAsia" w:ascii="宋体" w:hAnsi="宋体"/>
                <w:snapToGrid/>
                <w:color w:val="auto"/>
                <w:spacing w:val="0"/>
                <w:kern w:val="2"/>
                <w:sz w:val="21"/>
                <w:szCs w:val="21"/>
              </w:rPr>
              <w:t>0日内完成供货</w:t>
            </w:r>
          </w:p>
        </w:tc>
        <w:tc>
          <w:tcPr>
            <w:tcW w:w="1632" w:type="dxa"/>
            <w:vAlign w:val="center"/>
          </w:tcPr>
          <w:p>
            <w:pPr>
              <w:jc w:val="center"/>
              <w:rPr>
                <w:rFonts w:ascii="宋体" w:hAnsi="宋体"/>
                <w:color w:val="auto"/>
              </w:rPr>
            </w:pPr>
            <w:r>
              <w:rPr>
                <w:rFonts w:hint="eastAsia" w:ascii="宋体" w:hAnsi="宋体"/>
                <w:color w:val="auto"/>
              </w:rPr>
              <w:t>人民币29</w:t>
            </w:r>
            <w:r>
              <w:rPr>
                <w:rFonts w:hint="eastAsia" w:ascii="宋体" w:hAnsi="宋体"/>
                <w:color w:val="auto"/>
                <w:lang w:val="en-US" w:eastAsia="zh-CN"/>
              </w:rPr>
              <w:t>.</w:t>
            </w:r>
            <w:r>
              <w:rPr>
                <w:rFonts w:hint="eastAsia" w:ascii="宋体" w:hAnsi="宋体"/>
                <w:color w:val="auto"/>
              </w:rPr>
              <w:t>979万元</w:t>
            </w:r>
          </w:p>
        </w:tc>
      </w:tr>
    </w:tbl>
    <w:p>
      <w:pPr>
        <w:pStyle w:val="30"/>
      </w:pPr>
    </w:p>
    <w:p>
      <w:pPr>
        <w:pStyle w:val="11"/>
        <w:numPr>
          <w:ilvl w:val="0"/>
          <w:numId w:val="16"/>
        </w:numPr>
        <w:tabs>
          <w:tab w:val="left" w:pos="540"/>
        </w:tabs>
        <w:autoSpaceDE/>
        <w:autoSpaceDN/>
        <w:snapToGrid w:val="0"/>
        <w:spacing w:line="360" w:lineRule="auto"/>
        <w:jc w:val="both"/>
        <w:rPr>
          <w:rFonts w:hAnsi="宋体"/>
          <w:b/>
          <w:sz w:val="21"/>
          <w:szCs w:val="21"/>
        </w:rPr>
      </w:pPr>
      <w:r>
        <w:rPr>
          <w:rFonts w:hint="eastAsia" w:hAnsi="宋体"/>
          <w:b/>
          <w:sz w:val="21"/>
          <w:szCs w:val="21"/>
        </w:rPr>
        <w:t>采购清单</w:t>
      </w:r>
    </w:p>
    <w:tbl>
      <w:tblPr>
        <w:tblStyle w:val="23"/>
        <w:tblW w:w="5494" w:type="pct"/>
        <w:tblInd w:w="-57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09"/>
        <w:gridCol w:w="1780"/>
        <w:gridCol w:w="1415"/>
        <w:gridCol w:w="656"/>
        <w:gridCol w:w="682"/>
        <w:gridCol w:w="1042"/>
        <w:gridCol w:w="786"/>
        <w:gridCol w:w="13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blHeader/>
        </w:trPr>
        <w:tc>
          <w:tcPr>
            <w:tcW w:w="698"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序号</w:t>
            </w:r>
          </w:p>
        </w:tc>
        <w:tc>
          <w:tcPr>
            <w:tcW w:w="1509"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名称</w:t>
            </w:r>
          </w:p>
        </w:tc>
        <w:tc>
          <w:tcPr>
            <w:tcW w:w="1780"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规格</w:t>
            </w:r>
          </w:p>
        </w:tc>
        <w:tc>
          <w:tcPr>
            <w:tcW w:w="1415"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品牌或厂家</w:t>
            </w:r>
          </w:p>
        </w:tc>
        <w:tc>
          <w:tcPr>
            <w:tcW w:w="656"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数量</w:t>
            </w:r>
          </w:p>
        </w:tc>
        <w:tc>
          <w:tcPr>
            <w:tcW w:w="682"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单位</w:t>
            </w:r>
          </w:p>
        </w:tc>
        <w:tc>
          <w:tcPr>
            <w:tcW w:w="1042"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单价限价</w:t>
            </w:r>
          </w:p>
        </w:tc>
        <w:tc>
          <w:tcPr>
            <w:tcW w:w="786"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i w:val="0"/>
                <w:iCs w:val="0"/>
                <w:color w:val="auto"/>
                <w:kern w:val="0"/>
                <w:sz w:val="21"/>
                <w:szCs w:val="21"/>
                <w:u w:val="none"/>
                <w:lang w:val="en-US" w:eastAsia="zh-CN" w:bidi="ar"/>
              </w:rPr>
              <w:t>金额</w:t>
            </w:r>
          </w:p>
        </w:tc>
        <w:tc>
          <w:tcPr>
            <w:tcW w:w="1374" w:type="dxa"/>
            <w:shd w:val="clear" w:color="000000" w:fill="A5A5A5"/>
            <w:vAlign w:val="center"/>
          </w:tcPr>
          <w:p>
            <w:pPr>
              <w:keepNext w:val="0"/>
              <w:keepLines w:val="0"/>
              <w:widowControl/>
              <w:suppressLineNumbers w:val="0"/>
              <w:jc w:val="center"/>
              <w:textAlignment w:val="center"/>
              <w:rPr>
                <w:rFonts w:hint="eastAsia" w:ascii="宋体" w:hAnsi="宋体" w:eastAsia="宋体" w:cs="宋体"/>
                <w:b/>
                <w:bCs/>
                <w:kern w:val="0"/>
                <w:sz w:val="21"/>
                <w:szCs w:val="21"/>
              </w:rPr>
            </w:pPr>
            <w:r>
              <w:rPr>
                <w:rFonts w:hint="eastAsia" w:ascii="宋体" w:hAnsi="宋体" w:eastAsia="宋体" w:cs="宋体"/>
                <w:b/>
                <w:bCs/>
                <w:i w:val="0"/>
                <w:iCs w:val="0"/>
                <w:color w:val="000000"/>
                <w:kern w:val="0"/>
                <w:sz w:val="21"/>
                <w:szCs w:val="21"/>
                <w:u w:val="none"/>
                <w:lang w:val="en-US" w:eastAsia="zh-CN" w:bidi="ar"/>
              </w:rPr>
              <w:t>货号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螺纹盖比色管</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一次性样品瓶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2ml，带书写标签，100个/包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465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11625</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5182-0864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一次性样品瓶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2ml，100个/包，琥珀色</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3348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5182-0716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一次性样品瓶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2ml，100个/包，钳口瓶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23360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5183-4495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钳口盖</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特氟隆/硅橡胶，11mm*1000个/包，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1286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19290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5183-4498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螺纹样品瓶盖</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蓝色螺纹口盖,500/包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860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6880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5185-5820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样品瓶盖</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蓝色固定螺口盖,预开口PTFE/硅橡胶隔垫，100/包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1520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5190-7023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废液桶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白色塑料桶，25L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42.95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5154</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溶剂瓶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1L,棕色</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375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1875</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9301-6526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封口膜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10cmX38m,4IN.X125FT.、PM-996、1卷/盒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PARAFILM</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725</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泵油</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LVO 700 泵油1L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莱宝</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LVO 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玻璃衬管</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5190-3167,25个/包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5776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11552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5190-3167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具塞塑料离心管</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50ml,尖底，螺纹盖，25支/包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CNW</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具塞塑料离心管</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15ml,尖底，螺纹盖，25支/包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CNW</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脱脂棉</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500g/卷</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卷</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一次性使用吸管</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3ml，100支/包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氨水</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HPLC级，100ml∕瓶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酸性氧化铝</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100-200目，500g/瓶AR级，分析纯</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上海国药</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乙酸铵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73594-25G-F,LC-MS，25g/瓶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Sigma</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1745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1745</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甲酸铵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LC-MS，25g/瓶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Sigma</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1695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1695</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无粉丁腈手套</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中号，CNW</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CNW</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6.091103.100B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无粉丁腈手套</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小号,CNW</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CNW</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6.091102.100B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无粉丁腈手套</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大号,CNW</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CNW</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1395</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6.091104.100B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氟罗里硅土柱</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1g,6ml,30/盒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877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13155</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12256014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quEChERS试剂盒套装</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50mL，25套/盒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北京本立</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850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9350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Ｖ03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陶瓷均质子</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5982-9313,100个/包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3480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5982-9313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QuEChERS提取包</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5982-5755,50支/盒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1559</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43652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5982-5755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QuEChERS提取包</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5982-5056,50支/盒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1121</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25783</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5982-5056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石墨碳口罩</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50个/盒，黑色</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北京适美佳</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针头过滤器</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有机，0.22μm，100个/盒</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津腾</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盒</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8550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无针注射器</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5mL无针注射器，100只/包,带橡胶塞</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Anpel</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酸度计电极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E-201-C,复合电极</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雷磁</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氯化钠</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500g/瓶，20瓶/箱</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上海国药</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HPLC级，4L，色谱纯</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Sigma</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2700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50mL离心管架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有机玻璃，8孔/个</w:t>
            </w:r>
          </w:p>
        </w:tc>
        <w:tc>
          <w:tcPr>
            <w:tcW w:w="1415" w:type="dxa"/>
            <w:shd w:val="clear" w:color="auto" w:fill="auto"/>
            <w:vAlign w:val="center"/>
          </w:tcPr>
          <w:p>
            <w:pPr>
              <w:jc w:val="center"/>
              <w:rPr>
                <w:rFonts w:hint="eastAsia" w:ascii="宋体" w:hAnsi="宋体" w:eastAsia="宋体" w:cs="宋体"/>
                <w:kern w:val="0"/>
                <w:sz w:val="21"/>
                <w:szCs w:val="21"/>
              </w:rPr>
            </w:pP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1650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海绵垫</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适用于多管漩涡混合器</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杭州米欧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50mL泡沫架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适用于多管漩涡混合器</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杭州米欧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15mL泡沫架</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适用于多管漩涡混合器</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杭州米欧</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块</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砂轮</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适用于安培瓶</w:t>
            </w:r>
          </w:p>
        </w:tc>
        <w:tc>
          <w:tcPr>
            <w:tcW w:w="1415" w:type="dxa"/>
            <w:shd w:val="clear" w:color="auto" w:fill="auto"/>
            <w:vAlign w:val="center"/>
          </w:tcPr>
          <w:p>
            <w:pPr>
              <w:jc w:val="center"/>
              <w:rPr>
                <w:rFonts w:hint="eastAsia" w:ascii="宋体" w:hAnsi="宋体" w:eastAsia="宋体" w:cs="宋体"/>
                <w:kern w:val="0"/>
                <w:sz w:val="21"/>
                <w:szCs w:val="21"/>
              </w:rPr>
            </w:pP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手动连续分液器PD吸头</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BRAND</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1620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手动连续分液器PD吸头</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BRAND</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手动连续分液器PD吸头</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BRAND</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232</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死堵头，手紧型</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5020-8294</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1460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5020-8294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自动进样针</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5181-3361,10uL,6/包</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安捷伦</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包</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3083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6166</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0.05MOl/L NaoH溶液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CB13O,950ml,4瓶/箱</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pickering</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OPA稀释溶液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CB910,950ml，4瓶/箱</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pickering</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箱</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巯基乙醇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cat.NO 3700-2000，10g/瓶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pickering</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1840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3680</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领苯二甲醛</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cat.NO 0120，5g/瓶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pickering</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1495</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1495</w:t>
            </w:r>
          </w:p>
        </w:tc>
        <w:tc>
          <w:tcPr>
            <w:tcW w:w="1374" w:type="dxa"/>
            <w:shd w:val="clear" w:color="auto" w:fill="auto"/>
            <w:vAlign w:val="center"/>
          </w:tcPr>
          <w:p>
            <w:pPr>
              <w:jc w:val="center"/>
              <w:rPr>
                <w:rFonts w:hint="eastAsia" w:ascii="宋体" w:hAnsi="宋体" w:eastAsia="宋体" w:cs="宋体"/>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49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萘-甲醇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CDHK-GBW(E)130167，10ug/ml、1ml/瓶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国家标准物质中心</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CDHK-GBW(E)130167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久效磷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GSB05-2290-2016-2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硫线磷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GSB05-2646-2010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丁硫克百威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GSB05-1860-2016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多菌灵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GSB05-2342-2016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氟虫腈</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SB05-071-2008-2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氟虫腈砜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SB05-296-2015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氟虫腈硫醚</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SB05-297-2015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氟甲腈</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SB05-298-2015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灭蝇胺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GSB05-3342-2016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霜霉威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GSB05-2644-2010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氯吡脲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SB05-315-2016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氯虫苯甲酰胺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SB05-243-2011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醚菊酯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SB05-034-2008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虫酰肼</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GSB05-2648-2010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吡唑醚菌酯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SB05-293-2015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哒螨灵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GSB05-2658-2010-2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甲氨基阿维菌素苯甲酸盐</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SB05-283-2012-2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吡虫啉</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GSB05-1890-2016-2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烯酰吗啉</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SB05-140-2008-2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噻虫嗪</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SB05-165-2008-2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咪鲜胺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SB05-221-2008-2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氟啶脲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SB05-245-2011-2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嘧菌酯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SB05-244-2011-2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灭幼脲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GSB05-1891-2016-2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除虫脲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GSB05-1893-2016-2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甲霜灵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GSB05-2340-2016-2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多效唑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GSB05-2662-2010-2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苯醚甲环唑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SB05-170-2008-2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啶虫脒</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SB05-108-2008-2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二甲戊乐灵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SB05-120-2008-2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阿维菌素</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SB05-072-2008-2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嘧霉胺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SB05-110-2008-2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内吸磷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GSB05-2327-2016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氧化乐果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乐果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GSB05-2286-2016-2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亚胺硫磷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伏杀硫磷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GBW(E)081327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甲拌磷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GSB05-2294-2016-2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甲拌磷砜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SB05-294-2015-2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甲拌磷亚砜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381</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762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SB05-295-2015-2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辛硫磷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GSB05-2296-2016-2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蝇毒磷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GSB05-1865-2016-2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杀扑磷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GSB05-2295-2016-2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磷胺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GSB05-1866-2016-2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马拉硫磷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GSB05-2293-2016-2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敌敌畏</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甲胺磷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乙酰甲胺磷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GSB05-2322-2016-2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二嗪磷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治螟磷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GSB05-2321-2016-2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甲基对硫磷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GSB05-2285-2016-2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毒死蜱</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杀螟硫磷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对硫磷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GSB05-2284-2016-2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甲基异柳磷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GSB05-2335-2016-2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水胺硫磷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GSB05-2332-2016-2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丙溴磷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GSB05-2640-2010-2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三唑磷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GSB05-2650-2010-2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特丁硫磷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GSB05-2641-2010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百菌清</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GSB05-2312-2016-2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三唑酮</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联苯菊酯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GSB05-2333-2016-2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GSB05-2306-2016-2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氯氟氰菊酯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SB05-422-2018-2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氟氯氰菊酯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GSB05-1838-2016-2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氰戊菊酯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溴氰菊酯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GSB05-2310-2016-2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虫螨腈</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SB05-172-2008-2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五氯硝基苯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GSB05-1845-2016-2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乙烯菌核利</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GSB05-2665-2010-2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α-666</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GSB05-2276-2016-2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β-666</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GSB05-2277-2016-2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δ-666</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GSB05-2279-2016-2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林丹</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GSB05-2278-2016-2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氟氰戊菊酯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GSB05-2651-2010-2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氟胺氰菊酯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GSB05-2334-2016-2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异菌脲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GSB05-1847-2016-2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三氯杀螨醇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GSB05-2311-2016-2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硫丹</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SB05-048-2008-2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腐霉利</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GSB05-2338-2016-2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涕灭威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GSB05-1859-2016-2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涕灭威砜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GSB05-1862-2016-2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涕灭威亚砜</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SB05-037-2008-2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灭多威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GSB05-1857-2016-2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3-羟基克百威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352</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GSB05-1861-2016-2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克百威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GSB05-2300-2016-2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甲萘威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农业部环保监测所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GSB05-2301-2016-2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氟虫胺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德国DR</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A17004000AL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倍硫磷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GSB05-2299-2016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吡蚜酮</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SB05-145-2008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丙环唑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SB05-128-2008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敌百虫</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GSB05-2297-2016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氟硅唑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SB05-171-2008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氟铃脲</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SB05-134-2008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己唑醇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SB05-129-2008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甲基硫菌灵</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GSB05-1885-2016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甲氧虫酰肼</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SB05-305-2016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腈苯唑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SB05-150-2008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克螨特</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GSB05-1878-2016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联苯肼酯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SB05-338-2016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氯唑磷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SB05-116-2008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螺螨酯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SB05-334-2016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灭线磷</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GSB05-1877-2016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氰霜唑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SB05-342-2016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噻虫胺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508</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SB05-307-2016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噻嗪酮</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GSB05-1882-2016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三环唑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SB05-047-2008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三唑醇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GSB05-2642-2010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杀虫脒</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156</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SB05-044-2008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肟菌酯</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SB05-301-2016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162</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戊唑醇</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GSB05-2643-2010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烯啶虫胺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SB05-394-2017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164</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乙螨唑</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SB05-425-2019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乙霉威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GSB05-2631-2010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166</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异丙威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GSB05-2302-2016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167</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茚虫威</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SB05-114-2008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168</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唑虫酰胺</w:t>
            </w:r>
          </w:p>
        </w:tc>
        <w:tc>
          <w:tcPr>
            <w:tcW w:w="1780"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农业部环境保护科研监测所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147</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SB05-292-2015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169</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硫环磷</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浓度1000μg/mL,1mL/瓶</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Whales 汇迪生物</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196</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392</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HD105121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170</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氯霉素-D5标准溶液</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171</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甲醇中呋喃它酮代谢物-D5(AMOZ-D5)</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172</w:t>
            </w:r>
          </w:p>
        </w:tc>
        <w:tc>
          <w:tcPr>
            <w:tcW w:w="15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甲醇中呋喃妥因代谢物-13C3溶液标准物质(AHD-13C3)</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173</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甲醇中呋喃西林代谢物-13C,15N2溶液标准物质(SEM-13C,15N2)</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174</w:t>
            </w:r>
          </w:p>
        </w:tc>
        <w:tc>
          <w:tcPr>
            <w:tcW w:w="15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甲醇中呋喃唑酮代谢物-D4（AOZ-D4）</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175</w:t>
            </w:r>
          </w:p>
        </w:tc>
        <w:tc>
          <w:tcPr>
            <w:tcW w:w="1509"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乙腈中孔雀石绿-D5溶液标准物质</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NY1701028a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176</w:t>
            </w:r>
          </w:p>
        </w:tc>
        <w:tc>
          <w:tcPr>
            <w:tcW w:w="15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乙腈中隐性孔雀石绿-D6溶液标准物质</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50mg/L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农业农村部农产品质量标准研究所</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590</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NY1701029a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177</w:t>
            </w:r>
          </w:p>
        </w:tc>
        <w:tc>
          <w:tcPr>
            <w:tcW w:w="15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15种喹诺酮混标</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100μg/mL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北京曼哈格生物有限公司</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1483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1483</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C0022403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8"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178</w:t>
            </w:r>
          </w:p>
        </w:tc>
        <w:tc>
          <w:tcPr>
            <w:tcW w:w="1509" w:type="dxa"/>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17种磺胺混标</w:t>
            </w:r>
          </w:p>
        </w:tc>
        <w:tc>
          <w:tcPr>
            <w:tcW w:w="178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100μg/mL</w:t>
            </w:r>
          </w:p>
        </w:tc>
        <w:tc>
          <w:tcPr>
            <w:tcW w:w="1415"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北京曼哈格生物有限公司</w:t>
            </w:r>
          </w:p>
        </w:tc>
        <w:tc>
          <w:tcPr>
            <w:tcW w:w="656"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68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瓶</w:t>
            </w:r>
          </w:p>
        </w:tc>
        <w:tc>
          <w:tcPr>
            <w:tcW w:w="1042"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1103</w:t>
            </w:r>
          </w:p>
        </w:tc>
        <w:tc>
          <w:tcPr>
            <w:tcW w:w="786"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1103</w:t>
            </w:r>
          </w:p>
        </w:tc>
        <w:tc>
          <w:tcPr>
            <w:tcW w:w="1374"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C0036145</w:t>
            </w:r>
          </w:p>
        </w:tc>
      </w:tr>
    </w:tbl>
    <w:p>
      <w:pPr>
        <w:pStyle w:val="11"/>
        <w:numPr>
          <w:ilvl w:val="0"/>
          <w:numId w:val="16"/>
        </w:numPr>
        <w:tabs>
          <w:tab w:val="left" w:pos="540"/>
        </w:tabs>
        <w:autoSpaceDE/>
        <w:autoSpaceDN/>
        <w:snapToGrid w:val="0"/>
        <w:spacing w:line="360" w:lineRule="auto"/>
        <w:jc w:val="both"/>
        <w:rPr>
          <w:rFonts w:hAnsi="宋体"/>
          <w:b/>
          <w:sz w:val="21"/>
          <w:szCs w:val="21"/>
        </w:rPr>
      </w:pPr>
      <w:r>
        <w:rPr>
          <w:rFonts w:hint="eastAsia" w:hAnsi="宋体"/>
          <w:b/>
          <w:sz w:val="21"/>
          <w:szCs w:val="21"/>
        </w:rPr>
        <w:t>报价要求</w:t>
      </w:r>
    </w:p>
    <w:p>
      <w:pPr>
        <w:pStyle w:val="11"/>
        <w:numPr>
          <w:ilvl w:val="0"/>
          <w:numId w:val="17"/>
        </w:numPr>
        <w:tabs>
          <w:tab w:val="left" w:pos="2340"/>
        </w:tabs>
        <w:snapToGrid w:val="0"/>
        <w:spacing w:line="360" w:lineRule="auto"/>
        <w:rPr>
          <w:color w:val="auto"/>
          <w:sz w:val="21"/>
        </w:rPr>
      </w:pPr>
      <w:r>
        <w:rPr>
          <w:rFonts w:hint="eastAsia"/>
          <w:color w:val="auto"/>
          <w:sz w:val="21"/>
        </w:rPr>
        <w:t>本包组响应供应商应按照下浮率进行报价，下浮率必须为固定报价，不接受区间报价（如A%～B%），下浮率范围为0%-100%。</w:t>
      </w:r>
    </w:p>
    <w:p>
      <w:pPr>
        <w:pStyle w:val="11"/>
        <w:numPr>
          <w:ilvl w:val="0"/>
          <w:numId w:val="17"/>
        </w:numPr>
        <w:tabs>
          <w:tab w:val="left" w:pos="2340"/>
        </w:tabs>
        <w:snapToGrid w:val="0"/>
        <w:spacing w:line="360" w:lineRule="auto"/>
        <w:rPr>
          <w:color w:val="auto"/>
          <w:sz w:val="21"/>
        </w:rPr>
      </w:pPr>
      <w:r>
        <w:rPr>
          <w:rFonts w:hint="eastAsia"/>
          <w:color w:val="auto"/>
          <w:sz w:val="21"/>
        </w:rPr>
        <w:t>上述报价均包含货物加工、检测、包装、仓储、送货、质保期保障等一切支出。</w:t>
      </w:r>
    </w:p>
    <w:p>
      <w:pPr>
        <w:pStyle w:val="11"/>
        <w:numPr>
          <w:ilvl w:val="0"/>
          <w:numId w:val="17"/>
        </w:numPr>
        <w:tabs>
          <w:tab w:val="left" w:pos="2340"/>
        </w:tabs>
        <w:snapToGrid w:val="0"/>
        <w:spacing w:line="360" w:lineRule="auto"/>
        <w:rPr>
          <w:color w:val="auto"/>
          <w:sz w:val="21"/>
        </w:rPr>
      </w:pPr>
      <w:r>
        <w:rPr>
          <w:rFonts w:hint="eastAsia"/>
          <w:color w:val="auto"/>
          <w:sz w:val="21"/>
        </w:rPr>
        <w:t>报价包含所有税费。</w:t>
      </w:r>
    </w:p>
    <w:p>
      <w:pPr>
        <w:pStyle w:val="11"/>
        <w:numPr>
          <w:ilvl w:val="0"/>
          <w:numId w:val="16"/>
        </w:numPr>
        <w:tabs>
          <w:tab w:val="left" w:pos="540"/>
        </w:tabs>
        <w:autoSpaceDE/>
        <w:autoSpaceDN/>
        <w:snapToGrid w:val="0"/>
        <w:spacing w:line="360" w:lineRule="auto"/>
        <w:jc w:val="both"/>
        <w:rPr>
          <w:rFonts w:hAnsi="宋体" w:cs="宋体"/>
          <w:b/>
          <w:color w:val="auto"/>
          <w:sz w:val="21"/>
          <w:szCs w:val="21"/>
        </w:rPr>
      </w:pPr>
      <w:r>
        <w:rPr>
          <w:rFonts w:hint="eastAsia" w:hAnsi="宋体" w:cs="宋体"/>
          <w:b/>
          <w:color w:val="auto"/>
          <w:sz w:val="21"/>
          <w:szCs w:val="21"/>
        </w:rPr>
        <w:t>保险及发运、保管要求</w:t>
      </w:r>
    </w:p>
    <w:p>
      <w:pPr>
        <w:pStyle w:val="11"/>
        <w:numPr>
          <w:ilvl w:val="0"/>
          <w:numId w:val="18"/>
        </w:numPr>
        <w:tabs>
          <w:tab w:val="left" w:pos="2340"/>
        </w:tabs>
        <w:snapToGrid w:val="0"/>
        <w:spacing w:line="360" w:lineRule="auto"/>
        <w:rPr>
          <w:color w:val="auto"/>
          <w:sz w:val="21"/>
        </w:rPr>
      </w:pPr>
      <w:r>
        <w:rPr>
          <w:rFonts w:hint="eastAsia"/>
          <w:color w:val="auto"/>
          <w:sz w:val="21"/>
        </w:rPr>
        <w:t>成交人负责将货物运至现场过程中的全部运输，包括装卸车、货物现场的搬运。</w:t>
      </w:r>
    </w:p>
    <w:p>
      <w:pPr>
        <w:pStyle w:val="11"/>
        <w:numPr>
          <w:ilvl w:val="0"/>
          <w:numId w:val="18"/>
        </w:numPr>
        <w:tabs>
          <w:tab w:val="left" w:pos="2340"/>
        </w:tabs>
        <w:snapToGrid w:val="0"/>
        <w:spacing w:line="360" w:lineRule="auto"/>
        <w:rPr>
          <w:color w:val="auto"/>
          <w:sz w:val="21"/>
        </w:rPr>
      </w:pPr>
      <w:r>
        <w:rPr>
          <w:rFonts w:hint="eastAsia"/>
          <w:color w:val="auto"/>
          <w:sz w:val="21"/>
        </w:rPr>
        <w:t>货物必须提供装箱清单，按装箱清单验收货物。</w:t>
      </w:r>
    </w:p>
    <w:p>
      <w:pPr>
        <w:pStyle w:val="11"/>
        <w:numPr>
          <w:ilvl w:val="0"/>
          <w:numId w:val="18"/>
        </w:numPr>
        <w:tabs>
          <w:tab w:val="left" w:pos="2340"/>
        </w:tabs>
        <w:snapToGrid w:val="0"/>
        <w:spacing w:line="360" w:lineRule="auto"/>
        <w:rPr>
          <w:color w:val="auto"/>
          <w:sz w:val="21"/>
        </w:rPr>
      </w:pPr>
      <w:r>
        <w:rPr>
          <w:rFonts w:hint="eastAsia"/>
          <w:color w:val="auto"/>
          <w:sz w:val="21"/>
        </w:rPr>
        <w:t>货物在现场的保管由成交人负责，直至验收完毕。</w:t>
      </w:r>
    </w:p>
    <w:p>
      <w:pPr>
        <w:pStyle w:val="11"/>
        <w:numPr>
          <w:ilvl w:val="0"/>
          <w:numId w:val="18"/>
        </w:numPr>
        <w:tabs>
          <w:tab w:val="left" w:pos="2340"/>
        </w:tabs>
        <w:snapToGrid w:val="0"/>
        <w:spacing w:line="360" w:lineRule="auto"/>
        <w:rPr>
          <w:color w:val="auto"/>
          <w:sz w:val="21"/>
        </w:rPr>
      </w:pPr>
      <w:r>
        <w:rPr>
          <w:rFonts w:hint="eastAsia"/>
          <w:color w:val="auto"/>
          <w:sz w:val="21"/>
        </w:rPr>
        <w:t>货物在验收合格前的保险由成交人负责，成交人负责其派出的现场服务人员人身意外保险。</w:t>
      </w:r>
    </w:p>
    <w:p>
      <w:pPr>
        <w:pStyle w:val="11"/>
        <w:numPr>
          <w:ilvl w:val="0"/>
          <w:numId w:val="18"/>
        </w:numPr>
        <w:tabs>
          <w:tab w:val="left" w:pos="2340"/>
        </w:tabs>
        <w:snapToGrid w:val="0"/>
        <w:spacing w:line="360" w:lineRule="auto"/>
      </w:pPr>
      <w:r>
        <w:rPr>
          <w:rFonts w:hint="eastAsia"/>
          <w:color w:val="auto"/>
          <w:sz w:val="21"/>
        </w:rPr>
        <w:t>货物至招标人指定的使用现场的包装、保险及发运等环节和费用均由成交人负责。</w:t>
      </w:r>
    </w:p>
    <w:p>
      <w:pPr>
        <w:pStyle w:val="11"/>
        <w:numPr>
          <w:ilvl w:val="0"/>
          <w:numId w:val="18"/>
        </w:numPr>
        <w:tabs>
          <w:tab w:val="left" w:pos="2340"/>
        </w:tabs>
        <w:snapToGrid w:val="0"/>
        <w:spacing w:line="360" w:lineRule="auto"/>
        <w:rPr>
          <w:sz w:val="21"/>
          <w:szCs w:val="21"/>
        </w:rPr>
      </w:pPr>
      <w:r>
        <w:rPr>
          <w:rFonts w:hint="eastAsia"/>
          <w:sz w:val="21"/>
          <w:szCs w:val="21"/>
        </w:rPr>
        <w:t>符合生产厂家官方渠道可追溯的，包括但不限于产品序列号、包装箱号与出厂批次号一致，并可追索查阅。如不可追索查阅，视同假冒伪劣产品，造成的损失和由此产生的费用均由中标方承担，同时招标方有权终止合同。</w:t>
      </w:r>
    </w:p>
    <w:p>
      <w:pPr>
        <w:pStyle w:val="11"/>
        <w:numPr>
          <w:ilvl w:val="0"/>
          <w:numId w:val="12"/>
        </w:numPr>
        <w:tabs>
          <w:tab w:val="left" w:pos="540"/>
        </w:tabs>
        <w:autoSpaceDE/>
        <w:autoSpaceDN/>
        <w:snapToGrid w:val="0"/>
        <w:spacing w:line="360" w:lineRule="auto"/>
        <w:jc w:val="both"/>
        <w:rPr>
          <w:rFonts w:hAnsi="宋体" w:cs="宋体"/>
          <w:b/>
          <w:color w:val="auto"/>
          <w:sz w:val="21"/>
          <w:szCs w:val="21"/>
        </w:rPr>
      </w:pPr>
      <w:r>
        <w:rPr>
          <w:rFonts w:hint="eastAsia" w:hAnsi="宋体" w:cs="宋体"/>
          <w:b/>
          <w:color w:val="auto"/>
          <w:sz w:val="21"/>
          <w:szCs w:val="21"/>
        </w:rPr>
        <w:t>质保期及售后服务要求</w:t>
      </w:r>
    </w:p>
    <w:p>
      <w:pPr>
        <w:pStyle w:val="11"/>
        <w:numPr>
          <w:ilvl w:val="0"/>
          <w:numId w:val="19"/>
        </w:numPr>
        <w:tabs>
          <w:tab w:val="left" w:pos="2340"/>
        </w:tabs>
        <w:snapToGrid w:val="0"/>
        <w:spacing w:line="360" w:lineRule="auto"/>
        <w:rPr>
          <w:color w:val="auto"/>
          <w:sz w:val="21"/>
        </w:rPr>
      </w:pPr>
      <w:r>
        <w:rPr>
          <w:rFonts w:hint="eastAsia"/>
          <w:color w:val="auto"/>
          <w:sz w:val="21"/>
        </w:rPr>
        <w:t>产品保质期为一年。</w:t>
      </w:r>
    </w:p>
    <w:p>
      <w:pPr>
        <w:pStyle w:val="11"/>
        <w:numPr>
          <w:ilvl w:val="0"/>
          <w:numId w:val="19"/>
        </w:numPr>
        <w:tabs>
          <w:tab w:val="left" w:pos="2340"/>
        </w:tabs>
        <w:snapToGrid w:val="0"/>
        <w:spacing w:line="360" w:lineRule="auto"/>
        <w:rPr>
          <w:color w:val="auto"/>
          <w:sz w:val="21"/>
        </w:rPr>
      </w:pPr>
      <w:r>
        <w:rPr>
          <w:rFonts w:hint="eastAsia"/>
          <w:color w:val="auto"/>
          <w:sz w:val="21"/>
        </w:rPr>
        <w:t>质保期内，招标人对货物进行期间抽检，若出现货物质量问题，成交人须在接到招标人方通知（书面、传真、短信等方式）后三个工作日内无条件调整或更换货物，若三个工作日内未能更换合格货物或更换的货物仍达不到验收要求的，招标人有权解除合同；</w:t>
      </w:r>
    </w:p>
    <w:p>
      <w:pPr>
        <w:pStyle w:val="11"/>
        <w:numPr>
          <w:ilvl w:val="0"/>
          <w:numId w:val="19"/>
        </w:numPr>
        <w:tabs>
          <w:tab w:val="left" w:pos="2340"/>
        </w:tabs>
        <w:snapToGrid w:val="0"/>
        <w:spacing w:line="360" w:lineRule="auto"/>
        <w:rPr>
          <w:color w:val="auto"/>
          <w:sz w:val="21"/>
        </w:rPr>
      </w:pPr>
      <w:r>
        <w:rPr>
          <w:rFonts w:hint="eastAsia"/>
          <w:color w:val="auto"/>
          <w:sz w:val="21"/>
        </w:rPr>
        <w:t>成交人负责所有因货物质量问题而产生的费用；</w:t>
      </w:r>
    </w:p>
    <w:p>
      <w:pPr>
        <w:pStyle w:val="11"/>
        <w:numPr>
          <w:ilvl w:val="0"/>
          <w:numId w:val="12"/>
        </w:numPr>
        <w:tabs>
          <w:tab w:val="left" w:pos="540"/>
        </w:tabs>
        <w:autoSpaceDE/>
        <w:autoSpaceDN/>
        <w:snapToGrid w:val="0"/>
        <w:spacing w:line="360" w:lineRule="auto"/>
        <w:jc w:val="both"/>
        <w:rPr>
          <w:rFonts w:hAnsi="宋体" w:cs="宋体"/>
          <w:b/>
          <w:color w:val="auto"/>
          <w:sz w:val="21"/>
          <w:szCs w:val="21"/>
        </w:rPr>
      </w:pPr>
      <w:r>
        <w:rPr>
          <w:rFonts w:hint="eastAsia" w:hAnsi="宋体" w:cs="宋体"/>
          <w:b/>
          <w:color w:val="auto"/>
          <w:sz w:val="21"/>
          <w:szCs w:val="21"/>
        </w:rPr>
        <w:t>付款方式</w:t>
      </w:r>
    </w:p>
    <w:p>
      <w:pPr>
        <w:pStyle w:val="11"/>
        <w:numPr>
          <w:ilvl w:val="0"/>
          <w:numId w:val="20"/>
        </w:numPr>
        <w:tabs>
          <w:tab w:val="left" w:pos="2340"/>
        </w:tabs>
        <w:snapToGrid w:val="0"/>
        <w:spacing w:line="360" w:lineRule="auto"/>
        <w:rPr>
          <w:color w:val="auto"/>
          <w:sz w:val="21"/>
        </w:rPr>
      </w:pPr>
      <w:bookmarkStart w:id="24" w:name="_Toc423350517"/>
      <w:r>
        <w:rPr>
          <w:rFonts w:hint="eastAsia"/>
          <w:color w:val="auto"/>
          <w:sz w:val="21"/>
        </w:rPr>
        <w:t>本项目按实进行结算，每次结算金额=对应产品单价限价×实际采购数量×（1-下浮率）。</w:t>
      </w:r>
    </w:p>
    <w:p>
      <w:pPr>
        <w:pStyle w:val="11"/>
        <w:numPr>
          <w:ilvl w:val="0"/>
          <w:numId w:val="20"/>
        </w:numPr>
        <w:tabs>
          <w:tab w:val="left" w:pos="2340"/>
        </w:tabs>
        <w:snapToGrid w:val="0"/>
        <w:spacing w:line="360" w:lineRule="auto"/>
        <w:rPr>
          <w:sz w:val="21"/>
        </w:rPr>
      </w:pPr>
      <w:r>
        <w:rPr>
          <w:rFonts w:hint="eastAsia"/>
          <w:sz w:val="21"/>
        </w:rPr>
        <w:t>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rPr>
          <w:rFonts w:ascii="宋体" w:hAnsi="Courier New"/>
          <w:color w:val="000000"/>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p>
      <w:pPr>
        <w:pStyle w:val="30"/>
        <w:rPr>
          <w:rFonts w:ascii="宋体" w:hAnsi="Courier New"/>
          <w:color w:val="000000"/>
          <w:sz w:val="21"/>
          <w:highlight w:val="yellow"/>
        </w:rPr>
      </w:pPr>
    </w:p>
    <w:bookmarkEnd w:id="24"/>
    <w:p>
      <w:pPr>
        <w:numPr>
          <w:ilvl w:val="0"/>
          <w:numId w:val="2"/>
        </w:numPr>
        <w:tabs>
          <w:tab w:val="left" w:pos="1843"/>
        </w:tabs>
        <w:jc w:val="center"/>
        <w:outlineLvl w:val="0"/>
        <w:rPr>
          <w:b/>
          <w:sz w:val="50"/>
          <w:szCs w:val="50"/>
        </w:rPr>
      </w:pPr>
      <w:bookmarkStart w:id="25" w:name="_Toc423350518"/>
      <w:bookmarkStart w:id="26" w:name="_Toc16007"/>
      <w:bookmarkStart w:id="27" w:name="_Toc457466640"/>
      <w:r>
        <w:rPr>
          <w:rFonts w:hint="eastAsia"/>
          <w:b/>
          <w:sz w:val="50"/>
          <w:szCs w:val="50"/>
        </w:rPr>
        <w:t>报价文件格式</w:t>
      </w:r>
      <w:bookmarkEnd w:id="25"/>
      <w:bookmarkEnd w:id="26"/>
      <w:bookmarkEnd w:id="27"/>
    </w:p>
    <w:p>
      <w:pPr>
        <w:pStyle w:val="11"/>
        <w:jc w:val="center"/>
        <w:rPr>
          <w:b/>
          <w:sz w:val="30"/>
          <w:szCs w:val="30"/>
        </w:rPr>
      </w:pPr>
      <w:r>
        <w:rPr>
          <w:b/>
          <w:sz w:val="50"/>
          <w:szCs w:val="50"/>
        </w:rPr>
        <w:br w:type="page"/>
      </w:r>
      <w:bookmarkStart w:id="28" w:name="_Toc457466641"/>
      <w:bookmarkStart w:id="29" w:name="_Toc418071334"/>
      <w:bookmarkStart w:id="30" w:name="_Toc423350519"/>
      <w:r>
        <w:rPr>
          <w:rFonts w:hint="eastAsia"/>
          <w:b/>
          <w:sz w:val="30"/>
          <w:szCs w:val="30"/>
        </w:rPr>
        <w:t>报价文件包装封面参考</w:t>
      </w:r>
      <w:bookmarkEnd w:id="28"/>
      <w:bookmarkEnd w:id="29"/>
      <w:bookmarkEnd w:id="30"/>
    </w:p>
    <w:tbl>
      <w:tblPr>
        <w:tblStyle w:val="23"/>
        <w:tblW w:w="93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17" w:hRule="atLeast"/>
        </w:trPr>
        <w:tc>
          <w:tcPr>
            <w:tcW w:w="9320" w:type="dxa"/>
          </w:tcPr>
          <w:p>
            <w:pPr>
              <w:pStyle w:val="2"/>
              <w:spacing w:line="360" w:lineRule="auto"/>
              <w:ind w:firstLine="482" w:firstLineChars="150"/>
              <w:rPr>
                <w:rFonts w:ascii="宋体" w:hAnsi="宋体"/>
                <w:b/>
                <w:color w:val="auto"/>
                <w:kern w:val="2"/>
                <w:sz w:val="32"/>
                <w:szCs w:val="22"/>
              </w:rPr>
            </w:pPr>
          </w:p>
          <w:p>
            <w:pPr>
              <w:pStyle w:val="2"/>
              <w:spacing w:line="360" w:lineRule="auto"/>
              <w:ind w:firstLine="482" w:firstLineChars="150"/>
              <w:rPr>
                <w:rFonts w:ascii="宋体" w:hAnsi="宋体"/>
                <w:b/>
                <w:color w:val="auto"/>
                <w:kern w:val="2"/>
                <w:sz w:val="32"/>
                <w:szCs w:val="22"/>
              </w:rPr>
            </w:pPr>
          </w:p>
          <w:p>
            <w:pPr>
              <w:pStyle w:val="2"/>
              <w:spacing w:line="360" w:lineRule="auto"/>
              <w:ind w:firstLine="482" w:firstLineChars="150"/>
              <w:rPr>
                <w:rFonts w:ascii="宋体" w:hAnsi="宋体"/>
                <w:b/>
                <w:color w:val="auto"/>
                <w:kern w:val="2"/>
                <w:sz w:val="32"/>
                <w:szCs w:val="22"/>
              </w:rPr>
            </w:pPr>
          </w:p>
          <w:p>
            <w:pPr>
              <w:pStyle w:val="2"/>
              <w:spacing w:line="360" w:lineRule="auto"/>
              <w:jc w:val="center"/>
              <w:rPr>
                <w:rFonts w:ascii="宋体" w:hAnsi="宋体"/>
                <w:b/>
                <w:color w:val="auto"/>
                <w:kern w:val="2"/>
                <w:sz w:val="72"/>
                <w:szCs w:val="72"/>
              </w:rPr>
            </w:pPr>
            <w:r>
              <w:rPr>
                <w:rFonts w:hint="eastAsia" w:ascii="宋体" w:hAnsi="宋体"/>
                <w:b/>
                <w:color w:val="auto"/>
                <w:kern w:val="2"/>
                <w:sz w:val="72"/>
                <w:szCs w:val="72"/>
              </w:rPr>
              <w:t>报 价 文 件</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报价信封</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正本</w:t>
            </w:r>
          </w:p>
          <w:p>
            <w:pPr>
              <w:pStyle w:val="2"/>
              <w:spacing w:line="360" w:lineRule="auto"/>
              <w:jc w:val="center"/>
              <w:rPr>
                <w:rFonts w:ascii="宋体" w:hAnsi="宋体"/>
                <w:b/>
                <w:color w:val="auto"/>
                <w:kern w:val="2"/>
                <w:sz w:val="36"/>
                <w:szCs w:val="36"/>
              </w:rPr>
            </w:pPr>
            <w:r>
              <w:rPr>
                <w:rFonts w:hint="eastAsia" w:ascii="宋体" w:hAnsi="宋体"/>
                <w:b/>
                <w:color w:val="auto"/>
                <w:kern w:val="2"/>
                <w:sz w:val="36"/>
                <w:szCs w:val="36"/>
              </w:rPr>
              <w:t>口 副本</w:t>
            </w:r>
          </w:p>
          <w:p>
            <w:pPr>
              <w:pStyle w:val="2"/>
              <w:spacing w:line="360" w:lineRule="auto"/>
              <w:ind w:firstLine="482" w:firstLineChars="150"/>
              <w:rPr>
                <w:rFonts w:ascii="宋体" w:hAnsi="宋体"/>
                <w:b/>
                <w:color w:val="auto"/>
                <w:kern w:val="2"/>
                <w:sz w:val="32"/>
                <w:szCs w:val="22"/>
              </w:rPr>
            </w:pP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项目编号：GDCFCG-GDGZ-20230079</w:t>
            </w: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项目名称：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w:t>
            </w: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报价供应商名称：</w:t>
            </w:r>
          </w:p>
          <w:p>
            <w:pPr>
              <w:pStyle w:val="2"/>
              <w:spacing w:line="400" w:lineRule="exact"/>
              <w:ind w:left="2216" w:leftChars="303" w:right="508" w:rightChars="242" w:hanging="1580" w:hangingChars="562"/>
              <w:rPr>
                <w:rFonts w:ascii="宋体" w:hAnsi="宋体"/>
                <w:b/>
                <w:color w:val="auto"/>
                <w:sz w:val="28"/>
                <w:szCs w:val="28"/>
              </w:rPr>
            </w:pPr>
            <w:r>
              <w:rPr>
                <w:rFonts w:hint="eastAsia" w:ascii="宋体" w:hAnsi="宋体"/>
                <w:b/>
                <w:color w:val="auto"/>
                <w:sz w:val="28"/>
                <w:szCs w:val="28"/>
              </w:rPr>
              <w:t>报价供应商地址：</w:t>
            </w:r>
          </w:p>
          <w:p>
            <w:pPr>
              <w:pStyle w:val="2"/>
              <w:spacing w:line="400" w:lineRule="exact"/>
              <w:ind w:left="2216" w:leftChars="303" w:right="508" w:rightChars="242" w:hanging="1580" w:hangingChars="562"/>
              <w:rPr>
                <w:rFonts w:ascii="仿宋_GB2312" w:eastAsia="仿宋_GB2312"/>
                <w:b/>
                <w:color w:val="auto"/>
                <w:kern w:val="2"/>
                <w:sz w:val="28"/>
                <w:szCs w:val="28"/>
              </w:rPr>
            </w:pPr>
            <w:r>
              <w:rPr>
                <w:rFonts w:hint="eastAsia" w:ascii="宋体" w:hAnsi="宋体"/>
                <w:b/>
                <w:color w:val="auto"/>
                <w:sz w:val="28"/>
                <w:szCs w:val="28"/>
              </w:rPr>
              <w:t>参投包组：</w:t>
            </w:r>
            <w:r>
              <w:rPr>
                <w:rFonts w:hint="eastAsia" w:ascii="仿宋_GB2312" w:eastAsia="仿宋_GB2312"/>
                <w:b/>
                <w:color w:val="auto"/>
                <w:sz w:val="28"/>
                <w:szCs w:val="28"/>
              </w:rPr>
              <w:t xml:space="preserve"> </w:t>
            </w:r>
            <w:r>
              <w:rPr>
                <w:rFonts w:hint="eastAsia" w:ascii="仿宋_GB2312" w:eastAsia="仿宋_GB2312"/>
                <w:b/>
                <w:color w:val="auto"/>
                <w:kern w:val="2"/>
                <w:sz w:val="28"/>
                <w:szCs w:val="28"/>
              </w:rPr>
              <w:t xml:space="preserve"> </w:t>
            </w:r>
          </w:p>
          <w:p>
            <w:pPr>
              <w:pStyle w:val="2"/>
              <w:spacing w:line="400" w:lineRule="exact"/>
              <w:ind w:firstLine="900" w:firstLineChars="320"/>
              <w:rPr>
                <w:rFonts w:ascii="宋体" w:hAnsi="宋体"/>
                <w:b/>
                <w:color w:val="auto"/>
                <w:kern w:val="2"/>
                <w:sz w:val="28"/>
                <w:szCs w:val="28"/>
              </w:rPr>
            </w:pPr>
            <w:r>
              <w:rPr>
                <w:rFonts w:hint="eastAsia" w:ascii="仿宋_GB2312" w:eastAsia="仿宋_GB2312"/>
                <w:b/>
                <w:color w:val="auto"/>
                <w:kern w:val="2"/>
                <w:sz w:val="28"/>
                <w:szCs w:val="28"/>
              </w:rPr>
              <w:t xml:space="preserve">  </w:t>
            </w:r>
            <w:r>
              <w:rPr>
                <w:rFonts w:hint="eastAsia" w:ascii="宋体" w:hAnsi="宋体"/>
                <w:b/>
                <w:color w:val="auto"/>
                <w:kern w:val="2"/>
                <w:sz w:val="28"/>
                <w:szCs w:val="28"/>
              </w:rPr>
              <w:t xml:space="preserve">             </w:t>
            </w:r>
          </w:p>
          <w:p>
            <w:pPr>
              <w:tabs>
                <w:tab w:val="left" w:pos="851"/>
              </w:tabs>
              <w:autoSpaceDE w:val="0"/>
              <w:autoSpaceDN w:val="0"/>
              <w:adjustRightInd w:val="0"/>
              <w:snapToGrid w:val="0"/>
              <w:spacing w:line="420" w:lineRule="auto"/>
              <w:rPr>
                <w:rFonts w:ascii="宋体" w:hAnsi="宋体"/>
                <w:b/>
                <w:color w:val="auto"/>
                <w:sz w:val="32"/>
              </w:rPr>
            </w:pPr>
            <w:r>
              <w:rPr>
                <w:rFonts w:ascii="宋体" w:hAnsi="宋体"/>
                <w:b/>
                <w:color w:val="auto"/>
                <w:sz w:val="28"/>
                <w:szCs w:val="28"/>
              </w:rPr>
              <w:t xml:space="preserve"> </w:t>
            </w:r>
            <w:r>
              <w:rPr>
                <w:rFonts w:hint="eastAsia" w:ascii="宋体" w:hAnsi="宋体"/>
                <w:b/>
                <w:color w:val="auto"/>
                <w:sz w:val="28"/>
                <w:szCs w:val="28"/>
              </w:rPr>
              <w:t xml:space="preserve">     </w:t>
            </w:r>
            <w:r>
              <w:rPr>
                <w:rFonts w:ascii="宋体" w:hAnsi="宋体"/>
                <w:b/>
                <w:color w:val="auto"/>
                <w:sz w:val="28"/>
                <w:szCs w:val="28"/>
              </w:rPr>
              <w:t>(</w:t>
            </w:r>
            <w:r>
              <w:rPr>
                <w:rFonts w:ascii="宋体" w:hAnsi="宋体"/>
                <w:b/>
                <w:color w:val="auto"/>
                <w:sz w:val="28"/>
                <w:szCs w:val="28"/>
                <w:u w:val="single"/>
              </w:rPr>
              <w:t xml:space="preserve">    </w:t>
            </w:r>
            <w:r>
              <w:rPr>
                <w:rFonts w:hint="eastAsia" w:ascii="宋体" w:hAnsi="宋体"/>
                <w:b/>
                <w:color w:val="auto"/>
                <w:sz w:val="28"/>
                <w:szCs w:val="28"/>
              </w:rPr>
              <w:t>年</w:t>
            </w:r>
            <w:r>
              <w:rPr>
                <w:rFonts w:ascii="宋体" w:hAnsi="宋体"/>
                <w:b/>
                <w:color w:val="auto"/>
                <w:sz w:val="28"/>
                <w:szCs w:val="28"/>
                <w:u w:val="single"/>
              </w:rPr>
              <w:t xml:space="preserve">    </w:t>
            </w:r>
            <w:r>
              <w:rPr>
                <w:rFonts w:hint="eastAsia" w:ascii="宋体" w:hAnsi="宋体"/>
                <w:b/>
                <w:color w:val="auto"/>
                <w:sz w:val="28"/>
                <w:szCs w:val="28"/>
              </w:rPr>
              <w:t>月</w:t>
            </w:r>
            <w:r>
              <w:rPr>
                <w:rFonts w:ascii="宋体" w:hAnsi="宋体"/>
                <w:b/>
                <w:color w:val="auto"/>
                <w:sz w:val="28"/>
                <w:szCs w:val="28"/>
                <w:u w:val="single"/>
              </w:rPr>
              <w:t xml:space="preserve">    </w:t>
            </w:r>
            <w:r>
              <w:rPr>
                <w:rFonts w:hint="eastAsia" w:ascii="宋体" w:hAnsi="宋体"/>
                <w:b/>
                <w:color w:val="auto"/>
                <w:sz w:val="28"/>
                <w:szCs w:val="28"/>
              </w:rPr>
              <w:t>日</w:t>
            </w:r>
            <w:r>
              <w:rPr>
                <w:rFonts w:ascii="宋体" w:hAnsi="宋体"/>
                <w:b/>
                <w:color w:val="auto"/>
                <w:sz w:val="28"/>
                <w:szCs w:val="28"/>
                <w:u w:val="single"/>
              </w:rPr>
              <w:t xml:space="preserve">    </w:t>
            </w:r>
            <w:r>
              <w:rPr>
                <w:rFonts w:hint="eastAsia" w:ascii="宋体" w:hAnsi="宋体"/>
                <w:b/>
                <w:color w:val="auto"/>
                <w:sz w:val="28"/>
                <w:szCs w:val="28"/>
              </w:rPr>
              <w:t>时</w:t>
            </w:r>
            <w:r>
              <w:rPr>
                <w:rFonts w:ascii="宋体" w:hAnsi="宋体"/>
                <w:b/>
                <w:color w:val="auto"/>
                <w:sz w:val="28"/>
                <w:szCs w:val="28"/>
                <w:u w:val="single"/>
              </w:rPr>
              <w:t xml:space="preserve">    </w:t>
            </w:r>
            <w:r>
              <w:rPr>
                <w:rFonts w:hint="eastAsia" w:ascii="宋体" w:hAnsi="宋体"/>
                <w:b/>
                <w:color w:val="auto"/>
                <w:sz w:val="28"/>
                <w:szCs w:val="28"/>
              </w:rPr>
              <w:t>分</w:t>
            </w:r>
            <w:r>
              <w:rPr>
                <w:rFonts w:ascii="宋体" w:hAnsi="宋体"/>
                <w:b/>
                <w:color w:val="auto"/>
                <w:sz w:val="28"/>
                <w:szCs w:val="28"/>
              </w:rPr>
              <w:t>)</w:t>
            </w:r>
            <w:r>
              <w:rPr>
                <w:rFonts w:hint="eastAsia" w:ascii="宋体" w:hAnsi="宋体"/>
                <w:b/>
                <w:color w:val="auto"/>
                <w:sz w:val="28"/>
                <w:szCs w:val="28"/>
              </w:rPr>
              <w:t>之前不得启封</w:t>
            </w:r>
          </w:p>
        </w:tc>
      </w:tr>
    </w:tbl>
    <w:p>
      <w:pPr>
        <w:spacing w:line="240" w:lineRule="exact"/>
        <w:rPr>
          <w:rFonts w:ascii="宋体" w:hAnsi="宋体"/>
          <w:sz w:val="24"/>
        </w:rPr>
      </w:pPr>
    </w:p>
    <w:p>
      <w:pPr>
        <w:pStyle w:val="11"/>
        <w:jc w:val="center"/>
        <w:rPr>
          <w:b/>
          <w:sz w:val="30"/>
          <w:szCs w:val="30"/>
        </w:rPr>
      </w:pPr>
      <w:bookmarkStart w:id="31" w:name="_Toc418071335"/>
      <w:bookmarkStart w:id="32" w:name="_Toc423350520"/>
      <w:bookmarkStart w:id="33" w:name="_Toc457466642"/>
      <w:r>
        <w:rPr>
          <w:b/>
          <w:sz w:val="30"/>
          <w:szCs w:val="30"/>
        </w:rPr>
        <w:br w:type="page"/>
      </w:r>
      <w:r>
        <w:rPr>
          <w:rFonts w:hint="eastAsia"/>
          <w:b/>
          <w:sz w:val="30"/>
          <w:szCs w:val="30"/>
        </w:rPr>
        <w:t>报价文件目录表</w:t>
      </w:r>
      <w:bookmarkEnd w:id="31"/>
      <w:bookmarkEnd w:id="32"/>
      <w:bookmarkEnd w:id="33"/>
    </w:p>
    <w:p>
      <w:pPr>
        <w:spacing w:line="360" w:lineRule="auto"/>
        <w:rPr>
          <w:rFonts w:ascii="宋体" w:hAnsi="宋体"/>
        </w:rPr>
      </w:pPr>
      <w:r>
        <w:rPr>
          <w:rFonts w:hint="eastAsia" w:ascii="宋体" w:hAnsi="宋体"/>
        </w:rPr>
        <w:t>项目名称：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w:t>
      </w:r>
    </w:p>
    <w:p>
      <w:pPr>
        <w:spacing w:line="360" w:lineRule="auto"/>
        <w:rPr>
          <w:rFonts w:ascii="宋体" w:hAnsi="宋体"/>
          <w:b/>
          <w:bCs/>
        </w:rPr>
      </w:pPr>
      <w:r>
        <w:rPr>
          <w:rFonts w:hint="eastAsia" w:ascii="宋体" w:hAnsi="宋体"/>
        </w:rPr>
        <w:t>项目编号：GDCFCG-GDGZ-20230079</w:t>
      </w:r>
    </w:p>
    <w:tbl>
      <w:tblPr>
        <w:tblStyle w:val="23"/>
        <w:tblW w:w="92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5535"/>
        <w:gridCol w:w="813"/>
        <w:gridCol w:w="875"/>
        <w:gridCol w:w="12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 w:hRule="atLeast"/>
        </w:trPr>
        <w:tc>
          <w:tcPr>
            <w:tcW w:w="793" w:type="dxa"/>
            <w:vMerge w:val="restart"/>
            <w:shd w:val="clear" w:color="auto" w:fill="EEECE1"/>
            <w:vAlign w:val="center"/>
          </w:tcPr>
          <w:p>
            <w:pPr>
              <w:ind w:left="-101" w:leftChars="-48" w:right="-99" w:rightChars="-47"/>
              <w:jc w:val="center"/>
              <w:rPr>
                <w:rFonts w:ascii="宋体" w:hAnsi="宋体"/>
                <w:b/>
                <w:szCs w:val="21"/>
              </w:rPr>
            </w:pPr>
            <w:r>
              <w:rPr>
                <w:rFonts w:hint="eastAsia" w:ascii="宋体" w:hAnsi="宋体"/>
                <w:b/>
                <w:szCs w:val="21"/>
              </w:rPr>
              <w:t>序号</w:t>
            </w:r>
          </w:p>
        </w:tc>
        <w:tc>
          <w:tcPr>
            <w:tcW w:w="5535" w:type="dxa"/>
            <w:vMerge w:val="restart"/>
            <w:shd w:val="clear" w:color="auto" w:fill="EEECE1"/>
            <w:vAlign w:val="center"/>
          </w:tcPr>
          <w:p>
            <w:pPr>
              <w:jc w:val="center"/>
              <w:rPr>
                <w:rFonts w:ascii="宋体" w:hAnsi="宋体"/>
                <w:b/>
                <w:szCs w:val="21"/>
              </w:rPr>
            </w:pPr>
            <w:r>
              <w:rPr>
                <w:rFonts w:hint="eastAsia" w:ascii="宋体" w:hAnsi="宋体"/>
                <w:b/>
                <w:szCs w:val="21"/>
              </w:rPr>
              <w:t>文    件    名    称</w:t>
            </w:r>
          </w:p>
        </w:tc>
        <w:tc>
          <w:tcPr>
            <w:tcW w:w="1688" w:type="dxa"/>
            <w:gridSpan w:val="2"/>
            <w:shd w:val="clear" w:color="auto" w:fill="EEECE1"/>
            <w:vAlign w:val="center"/>
          </w:tcPr>
          <w:p>
            <w:pPr>
              <w:ind w:left="-118" w:leftChars="-56" w:right="-94" w:rightChars="-45"/>
              <w:jc w:val="center"/>
              <w:rPr>
                <w:rFonts w:ascii="宋体" w:hAnsi="宋体"/>
                <w:b/>
                <w:szCs w:val="21"/>
              </w:rPr>
            </w:pPr>
            <w:r>
              <w:rPr>
                <w:rFonts w:hint="eastAsia" w:ascii="宋体" w:hAnsi="宋体"/>
                <w:b/>
                <w:szCs w:val="21"/>
              </w:rPr>
              <w:t>提交情况</w:t>
            </w:r>
          </w:p>
        </w:tc>
        <w:tc>
          <w:tcPr>
            <w:tcW w:w="1202" w:type="dxa"/>
            <w:vMerge w:val="restart"/>
            <w:shd w:val="clear" w:color="auto" w:fill="EEECE1"/>
            <w:vAlign w:val="center"/>
          </w:tcPr>
          <w:p>
            <w:pPr>
              <w:jc w:val="center"/>
              <w:rPr>
                <w:rFonts w:ascii="宋体" w:hAnsi="宋体"/>
                <w:b/>
                <w:szCs w:val="21"/>
              </w:rPr>
            </w:pPr>
            <w:r>
              <w:rPr>
                <w:rFonts w:hint="eastAsia" w:ascii="宋体" w:hAnsi="宋体"/>
                <w:b/>
                <w:szCs w:val="21"/>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 w:hRule="atLeast"/>
        </w:trPr>
        <w:tc>
          <w:tcPr>
            <w:tcW w:w="793" w:type="dxa"/>
            <w:vMerge w:val="continue"/>
            <w:shd w:val="clear" w:color="auto" w:fill="EEECE1"/>
            <w:vAlign w:val="center"/>
          </w:tcPr>
          <w:p>
            <w:pPr>
              <w:rPr>
                <w:rFonts w:ascii="宋体" w:hAnsi="宋体"/>
                <w:szCs w:val="21"/>
              </w:rPr>
            </w:pPr>
          </w:p>
        </w:tc>
        <w:tc>
          <w:tcPr>
            <w:tcW w:w="5535" w:type="dxa"/>
            <w:vMerge w:val="continue"/>
            <w:shd w:val="clear" w:color="auto" w:fill="EEECE1"/>
            <w:vAlign w:val="center"/>
          </w:tcPr>
          <w:p>
            <w:pPr>
              <w:rPr>
                <w:rFonts w:ascii="宋体" w:hAnsi="宋体"/>
                <w:szCs w:val="21"/>
              </w:rPr>
            </w:pPr>
          </w:p>
        </w:tc>
        <w:tc>
          <w:tcPr>
            <w:tcW w:w="813" w:type="dxa"/>
            <w:shd w:val="clear" w:color="auto" w:fill="EEECE1"/>
            <w:vAlign w:val="center"/>
          </w:tcPr>
          <w:p>
            <w:pPr>
              <w:jc w:val="center"/>
              <w:rPr>
                <w:rFonts w:ascii="宋体" w:hAnsi="宋体"/>
                <w:b/>
                <w:szCs w:val="21"/>
              </w:rPr>
            </w:pPr>
            <w:r>
              <w:rPr>
                <w:rFonts w:hint="eastAsia" w:ascii="宋体" w:hAnsi="宋体"/>
                <w:b/>
                <w:szCs w:val="21"/>
              </w:rPr>
              <w:t>有</w:t>
            </w:r>
          </w:p>
        </w:tc>
        <w:tc>
          <w:tcPr>
            <w:tcW w:w="875" w:type="dxa"/>
            <w:shd w:val="clear" w:color="auto" w:fill="EEECE1"/>
            <w:vAlign w:val="center"/>
          </w:tcPr>
          <w:p>
            <w:pPr>
              <w:jc w:val="center"/>
              <w:rPr>
                <w:rFonts w:ascii="宋体" w:hAnsi="宋体"/>
                <w:b/>
                <w:szCs w:val="21"/>
              </w:rPr>
            </w:pPr>
            <w:r>
              <w:rPr>
                <w:rFonts w:hint="eastAsia" w:ascii="宋体" w:hAnsi="宋体"/>
                <w:b/>
                <w:szCs w:val="21"/>
              </w:rPr>
              <w:t>无</w:t>
            </w:r>
          </w:p>
        </w:tc>
        <w:tc>
          <w:tcPr>
            <w:tcW w:w="1202" w:type="dxa"/>
            <w:vMerge w:val="continue"/>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color w:val="000000"/>
                <w:kern w:val="2"/>
                <w:sz w:val="21"/>
                <w:szCs w:val="21"/>
              </w:rPr>
            </w:pPr>
            <w:r>
              <w:rPr>
                <w:rFonts w:hint="eastAsia" w:hAnsi="宋体"/>
                <w:color w:val="000000"/>
                <w:kern w:val="2"/>
                <w:sz w:val="21"/>
                <w:szCs w:val="21"/>
              </w:rPr>
              <w:t>供应商资格声明函</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color w:val="000000"/>
                <w:sz w:val="21"/>
                <w:szCs w:val="21"/>
              </w:rPr>
            </w:pPr>
            <w:r>
              <w:rPr>
                <w:rFonts w:hint="eastAsia" w:hAnsi="宋体"/>
                <w:color w:val="000000"/>
                <w:sz w:val="21"/>
                <w:szCs w:val="21"/>
              </w:rPr>
              <w:t>用户需求书响应声明函</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sz w:val="21"/>
                <w:szCs w:val="21"/>
              </w:rPr>
            </w:pPr>
            <w:r>
              <w:rPr>
                <w:rFonts w:hint="eastAsia"/>
                <w:szCs w:val="21"/>
              </w:rPr>
              <w:t>法人或者其他组织的营业执照、组织机构代码证和税务登记证（或多证合一证明）等证明文件</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sz w:val="21"/>
                <w:szCs w:val="21"/>
              </w:rPr>
            </w:pPr>
            <w:r>
              <w:rPr>
                <w:rFonts w:hint="eastAsia" w:hAnsi="宋体" w:cs="宋体"/>
                <w:bCs/>
              </w:rPr>
              <w:t>信用中国网站及中国政府采购网查询截图</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cs="宋体"/>
                <w:bCs/>
              </w:rPr>
            </w:pPr>
            <w:r>
              <w:rPr>
                <w:rFonts w:hint="eastAsia" w:hAnsi="宋体" w:cs="宋体"/>
                <w:bCs/>
              </w:rPr>
              <w:t>供应商须具有《危险废物经营许可证》。（提供证书复印件）</w:t>
            </w:r>
            <w:r>
              <w:rPr>
                <w:rFonts w:hint="eastAsia" w:hAnsi="宋体" w:cs="宋体"/>
                <w:b/>
              </w:rPr>
              <w:t>（适用于包组二）</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cs="宋体"/>
                <w:bCs/>
                <w:color w:val="FF0000"/>
                <w:sz w:val="21"/>
                <w:szCs w:val="21"/>
              </w:rPr>
            </w:pPr>
            <w:r>
              <w:rPr>
                <w:rFonts w:hint="eastAsia" w:hAnsi="宋体"/>
                <w:kern w:val="2"/>
                <w:sz w:val="21"/>
                <w:szCs w:val="21"/>
              </w:rPr>
              <w:t>法定代表人授权委托书</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color w:val="000000"/>
                <w:sz w:val="21"/>
                <w:szCs w:val="21"/>
              </w:rPr>
            </w:pPr>
            <w:r>
              <w:rPr>
                <w:rFonts w:hint="eastAsia" w:hAnsi="宋体"/>
                <w:kern w:val="2"/>
                <w:sz w:val="21"/>
                <w:szCs w:val="21"/>
              </w:rPr>
              <w:t>法定代表人证明书</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kern w:val="2"/>
                <w:sz w:val="21"/>
                <w:szCs w:val="21"/>
              </w:rPr>
            </w:pPr>
            <w:r>
              <w:rPr>
                <w:rFonts w:hint="eastAsia" w:hAnsi="宋体"/>
                <w:sz w:val="21"/>
                <w:szCs w:val="21"/>
              </w:rPr>
              <w:t>报价表</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pStyle w:val="11"/>
              <w:rPr>
                <w:rFonts w:hAnsi="宋体"/>
                <w:sz w:val="21"/>
                <w:szCs w:val="21"/>
              </w:rPr>
            </w:pPr>
            <w:r>
              <w:rPr>
                <w:rFonts w:hint="eastAsia" w:hAnsi="宋体"/>
                <w:sz w:val="21"/>
                <w:szCs w:val="21"/>
              </w:rPr>
              <w:t>招标代理服务费承诺书</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793" w:type="dxa"/>
            <w:shd w:val="clear" w:color="auto" w:fill="auto"/>
            <w:vAlign w:val="center"/>
          </w:tcPr>
          <w:p>
            <w:pPr>
              <w:numPr>
                <w:ilvl w:val="0"/>
                <w:numId w:val="21"/>
              </w:numPr>
              <w:jc w:val="center"/>
              <w:rPr>
                <w:rFonts w:ascii="宋体" w:hAnsi="宋体"/>
                <w:szCs w:val="21"/>
              </w:rPr>
            </w:pPr>
          </w:p>
        </w:tc>
        <w:tc>
          <w:tcPr>
            <w:tcW w:w="5535" w:type="dxa"/>
            <w:shd w:val="clear" w:color="auto" w:fill="auto"/>
            <w:vAlign w:val="center"/>
          </w:tcPr>
          <w:p>
            <w:pPr>
              <w:jc w:val="left"/>
              <w:textAlignment w:val="baseline"/>
              <w:rPr>
                <w:rFonts w:ascii="宋体" w:hAnsi="宋体"/>
                <w:color w:val="000000"/>
                <w:szCs w:val="21"/>
              </w:rPr>
            </w:pPr>
            <w:r>
              <w:rPr>
                <w:rFonts w:hint="eastAsia" w:ascii="宋体" w:hAnsi="宋体"/>
                <w:color w:val="000000"/>
                <w:szCs w:val="21"/>
              </w:rPr>
              <w:t>响应供应商认为需要提供的其它说明和资料</w:t>
            </w:r>
          </w:p>
        </w:tc>
        <w:tc>
          <w:tcPr>
            <w:tcW w:w="813" w:type="dxa"/>
            <w:shd w:val="clear" w:color="auto" w:fill="auto"/>
            <w:vAlign w:val="center"/>
          </w:tcPr>
          <w:p>
            <w:pPr>
              <w:jc w:val="center"/>
              <w:rPr>
                <w:rFonts w:ascii="宋体" w:hAnsi="宋体"/>
                <w:szCs w:val="21"/>
              </w:rPr>
            </w:pPr>
          </w:p>
        </w:tc>
        <w:tc>
          <w:tcPr>
            <w:tcW w:w="875" w:type="dxa"/>
            <w:shd w:val="clear" w:color="auto" w:fill="auto"/>
            <w:vAlign w:val="center"/>
          </w:tcPr>
          <w:p>
            <w:pPr>
              <w:jc w:val="center"/>
              <w:rPr>
                <w:rFonts w:ascii="宋体" w:hAnsi="宋体"/>
                <w:szCs w:val="21"/>
              </w:rPr>
            </w:pPr>
          </w:p>
        </w:tc>
        <w:tc>
          <w:tcPr>
            <w:tcW w:w="1202" w:type="dxa"/>
            <w:shd w:val="clear" w:color="auto" w:fill="EEECE1"/>
            <w:vAlign w:val="center"/>
          </w:tcPr>
          <w:p>
            <w:pPr>
              <w:jc w:val="center"/>
              <w:rPr>
                <w:rFonts w:ascii="宋体" w:hAnsi="宋体"/>
                <w:szCs w:val="21"/>
              </w:rPr>
            </w:pPr>
          </w:p>
        </w:tc>
      </w:tr>
    </w:tbl>
    <w:p>
      <w:pPr>
        <w:spacing w:line="440" w:lineRule="exact"/>
        <w:rPr>
          <w:rFonts w:ascii="宋体" w:hAnsi="宋体" w:cs="宋体"/>
          <w:b/>
          <w:sz w:val="25"/>
          <w:szCs w:val="25"/>
        </w:rPr>
      </w:pPr>
      <w:r>
        <w:rPr>
          <w:rFonts w:hint="eastAsia" w:ascii="宋体" w:hAnsi="宋体" w:cs="宋体"/>
          <w:b/>
          <w:sz w:val="25"/>
          <w:szCs w:val="25"/>
        </w:rPr>
        <w:t>备注：响应供应商按照上表顺序进行装订文件，密封递交。</w:t>
      </w:r>
      <w:r>
        <w:rPr>
          <w:rFonts w:ascii="宋体" w:hAnsi="宋体" w:cs="宋体"/>
          <w:b/>
          <w:sz w:val="25"/>
          <w:szCs w:val="25"/>
        </w:rPr>
        <w:br w:type="page"/>
      </w: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供应商资格声明函</w:t>
      </w:r>
    </w:p>
    <w:p>
      <w:pPr>
        <w:spacing w:line="360" w:lineRule="auto"/>
        <w:ind w:left="105" w:leftChars="50" w:right="279" w:rightChars="133" w:firstLine="2"/>
        <w:rPr>
          <w:rFonts w:ascii="宋体" w:hAnsi="宋体" w:cs="宋体"/>
          <w:b/>
          <w:szCs w:val="21"/>
        </w:rPr>
      </w:pPr>
      <w:r>
        <w:rPr>
          <w:rFonts w:hint="eastAsia"/>
          <w:b/>
          <w:szCs w:val="21"/>
        </w:rPr>
        <w:t>致：广州市花都区农产品质量安全监督检测中心、</w:t>
      </w:r>
      <w:r>
        <w:rPr>
          <w:rFonts w:hint="eastAsia" w:ascii="宋体" w:hAnsi="宋体" w:cs="宋体"/>
          <w:b/>
          <w:szCs w:val="21"/>
        </w:rPr>
        <w:t>广东秤风采购招标有限公司：</w:t>
      </w:r>
    </w:p>
    <w:p>
      <w:pPr>
        <w:spacing w:line="360" w:lineRule="auto"/>
        <w:ind w:left="105" w:leftChars="50" w:right="279" w:rightChars="133" w:firstLine="420" w:firstLineChars="200"/>
        <w:rPr>
          <w:rFonts w:ascii="宋体" w:hAnsi="宋体" w:cs="宋体"/>
          <w:szCs w:val="21"/>
        </w:rPr>
      </w:pPr>
      <w:r>
        <w:rPr>
          <w:rFonts w:hint="eastAsia" w:ascii="宋体" w:hAnsi="宋体" w:cs="宋体"/>
          <w:szCs w:val="21"/>
        </w:rPr>
        <w:t>关于贵单位、贵公司发布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公开竞价采购（项目编号：GDCFCG-GDGZ-20230079）的竞价公告，本公司（企业）愿意参加，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Cs w:val="21"/>
        </w:rPr>
      </w:pPr>
      <w:r>
        <w:rPr>
          <w:rFonts w:hint="eastAsia" w:ascii="宋体" w:hAnsi="宋体"/>
          <w:szCs w:val="21"/>
        </w:rPr>
        <w:t>四、本公司在本项目中不转包且不联合竞价。</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szCs w:val="21"/>
        </w:rPr>
      </w:pPr>
      <w:r>
        <w:rPr>
          <w:rFonts w:hint="eastAsia"/>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45"/>
        <w:numPr>
          <w:ilvl w:val="0"/>
          <w:numId w:val="22"/>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45"/>
        <w:numPr>
          <w:ilvl w:val="0"/>
          <w:numId w:val="22"/>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rPr>
          <w:szCs w:val="21"/>
          <w:u w:val="single"/>
        </w:rPr>
      </w:pPr>
      <w:r>
        <w:rPr>
          <w:rFonts w:hint="eastAsia"/>
          <w:szCs w:val="21"/>
        </w:rPr>
        <w:t>供应商名称</w:t>
      </w:r>
      <w:r>
        <w:rPr>
          <w:rFonts w:hint="eastAsia" w:ascii="宋体"/>
          <w:szCs w:val="21"/>
        </w:rPr>
        <w:t>（</w:t>
      </w:r>
      <w:r>
        <w:rPr>
          <w:rFonts w:hint="eastAsia" w:ascii="宋体" w:hAnsi="宋体"/>
          <w:szCs w:val="21"/>
        </w:rPr>
        <w:t>单位盖</w:t>
      </w:r>
      <w:r>
        <w:rPr>
          <w:rFonts w:hint="eastAsia"/>
          <w:spacing w:val="4"/>
          <w:szCs w:val="21"/>
        </w:rPr>
        <w:t>公章</w:t>
      </w:r>
      <w:r>
        <w:rPr>
          <w:rFonts w:hint="eastAsia" w:ascii="宋体"/>
          <w:szCs w:val="21"/>
        </w:rPr>
        <w:t>）</w:t>
      </w:r>
      <w:r>
        <w:rPr>
          <w:rFonts w:hint="eastAsia"/>
          <w:szCs w:val="21"/>
        </w:rPr>
        <w:t>：</w:t>
      </w:r>
      <w:r>
        <w:rPr>
          <w:rFonts w:hint="eastAsia"/>
          <w:szCs w:val="21"/>
          <w:u w:val="single"/>
        </w:rPr>
        <w:t xml:space="preserve">                          </w:t>
      </w:r>
    </w:p>
    <w:p>
      <w:pPr>
        <w:spacing w:line="360" w:lineRule="auto"/>
        <w:rPr>
          <w:szCs w:val="21"/>
          <w:u w:val="single"/>
        </w:rPr>
      </w:pPr>
      <w:r>
        <w:rPr>
          <w:rFonts w:hint="eastAsia"/>
          <w:szCs w:val="21"/>
        </w:rPr>
        <w:t>日期：</w:t>
      </w:r>
      <w:r>
        <w:rPr>
          <w:rFonts w:hint="eastAsia"/>
          <w:szCs w:val="21"/>
          <w:u w:val="single"/>
        </w:rPr>
        <w:t xml:space="preserve">                       </w:t>
      </w:r>
    </w:p>
    <w:p>
      <w:pPr>
        <w:spacing w:line="440" w:lineRule="exact"/>
        <w:rPr>
          <w:rFonts w:ascii="黑体" w:eastAsia="黑体"/>
          <w:bCs/>
          <w:sz w:val="28"/>
        </w:rPr>
      </w:pPr>
      <w:r>
        <w:rPr>
          <w:rFonts w:ascii="黑体" w:eastAsia="黑体"/>
          <w:bCs/>
          <w:sz w:val="28"/>
        </w:rPr>
        <w:br w:type="page"/>
      </w: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用户需求书响应声明函</w:t>
      </w:r>
    </w:p>
    <w:p>
      <w:pPr>
        <w:spacing w:line="360" w:lineRule="auto"/>
        <w:ind w:left="105" w:leftChars="50" w:right="279" w:rightChars="133" w:firstLine="2"/>
        <w:rPr>
          <w:rFonts w:ascii="宋体" w:hAnsi="宋体" w:cs="宋体"/>
          <w:b/>
          <w:szCs w:val="21"/>
        </w:rPr>
      </w:pPr>
      <w:r>
        <w:rPr>
          <w:rFonts w:hint="eastAsia"/>
          <w:b/>
          <w:szCs w:val="21"/>
        </w:rPr>
        <w:t>致：广州市花都区农产品质量安全监督检测中心、</w:t>
      </w:r>
      <w:r>
        <w:rPr>
          <w:rFonts w:hint="eastAsia" w:ascii="宋体" w:hAnsi="宋体" w:cs="宋体"/>
          <w:b/>
          <w:szCs w:val="21"/>
        </w:rPr>
        <w:t>广东秤风采购招标有限公司：</w:t>
      </w:r>
    </w:p>
    <w:p>
      <w:pPr>
        <w:spacing w:line="360" w:lineRule="auto"/>
        <w:ind w:left="105" w:leftChars="50" w:right="279" w:rightChars="133" w:firstLine="420" w:firstLineChars="200"/>
        <w:rPr>
          <w:rFonts w:ascii="宋体" w:hAnsi="宋体" w:cs="宋体"/>
          <w:szCs w:val="21"/>
        </w:rPr>
      </w:pPr>
      <w:r>
        <w:rPr>
          <w:rFonts w:hint="eastAsia" w:ascii="宋体" w:hAnsi="宋体" w:cs="宋体"/>
          <w:szCs w:val="21"/>
        </w:rPr>
        <w:t>关于贵单位、贵公司发布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公开竞价采购（项目编号：GDCFCG-GDGZ-20230079）的竞价公告，本公司（企业）愿意参加，并声明：</w:t>
      </w:r>
    </w:p>
    <w:p>
      <w:pPr>
        <w:pStyle w:val="52"/>
        <w:tabs>
          <w:tab w:val="left" w:pos="426"/>
        </w:tabs>
        <w:snapToGrid w:val="0"/>
        <w:spacing w:before="156" w:beforeLines="50" w:line="360" w:lineRule="auto"/>
        <w:ind w:firstLineChars="0"/>
        <w:rPr>
          <w:rFonts w:ascii="宋体" w:hAnsi="宋体"/>
          <w:color w:val="000000"/>
        </w:rPr>
      </w:pPr>
      <w:r>
        <w:rPr>
          <w:rFonts w:hint="eastAsia" w:ascii="宋体" w:hAnsi="宋体"/>
          <w:color w:val="000000"/>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2"/>
        <w:tabs>
          <w:tab w:val="left" w:pos="426"/>
        </w:tabs>
        <w:snapToGrid w:val="0"/>
        <w:spacing w:before="156" w:beforeLines="50" w:line="360" w:lineRule="auto"/>
        <w:ind w:firstLineChars="0"/>
        <w:rPr>
          <w:rFonts w:ascii="宋体" w:hAnsi="宋体" w:cs="宋体"/>
          <w:color w:val="000000"/>
        </w:rPr>
      </w:pPr>
      <w:r>
        <w:rPr>
          <w:rFonts w:hint="eastAsia" w:ascii="宋体" w:hAnsi="宋体" w:cs="宋体"/>
          <w:color w:val="000000"/>
        </w:rPr>
        <w:t>本公司（企业）承诺在本次采购活动中，如有违法、违规、弄虚作假行为，所造成的损失、不良后果及法律责任，一律由我公司（企业）承担。</w:t>
      </w:r>
    </w:p>
    <w:p>
      <w:pPr>
        <w:autoSpaceDE w:val="0"/>
        <w:autoSpaceDN w:val="0"/>
        <w:adjustRightInd w:val="0"/>
        <w:spacing w:before="156" w:beforeLines="50" w:line="360" w:lineRule="auto"/>
        <w:ind w:firstLine="413" w:firstLineChars="196"/>
        <w:rPr>
          <w:rFonts w:ascii="宋体" w:hAnsi="宋体"/>
          <w:b/>
          <w:color w:val="000000"/>
          <w:szCs w:val="21"/>
        </w:rPr>
      </w:pPr>
      <w:r>
        <w:rPr>
          <w:rFonts w:hint="eastAsia" w:ascii="宋体" w:hAnsi="宋体"/>
          <w:b/>
          <w:color w:val="000000"/>
          <w:szCs w:val="21"/>
        </w:rPr>
        <w:t>备注：</w:t>
      </w:r>
    </w:p>
    <w:p>
      <w:pPr>
        <w:pStyle w:val="45"/>
        <w:numPr>
          <w:ilvl w:val="0"/>
          <w:numId w:val="23"/>
        </w:numPr>
        <w:autoSpaceDE w:val="0"/>
        <w:autoSpaceDN w:val="0"/>
        <w:adjustRightInd w:val="0"/>
        <w:spacing w:before="156" w:beforeLines="50" w:line="360" w:lineRule="auto"/>
        <w:ind w:firstLineChars="0"/>
        <w:rPr>
          <w:rFonts w:ascii="宋体" w:hAnsi="宋体"/>
          <w:color w:val="000000"/>
          <w:szCs w:val="21"/>
        </w:rPr>
      </w:pPr>
      <w:r>
        <w:rPr>
          <w:rFonts w:hint="eastAsia" w:ascii="宋体" w:hAnsi="宋体"/>
          <w:color w:val="000000"/>
          <w:szCs w:val="21"/>
        </w:rPr>
        <w:t>本声明函必须提供且内容不得擅自删改，否则视为响应无效。</w:t>
      </w:r>
    </w:p>
    <w:p>
      <w:pPr>
        <w:pStyle w:val="45"/>
        <w:numPr>
          <w:ilvl w:val="0"/>
          <w:numId w:val="23"/>
        </w:numPr>
        <w:snapToGrid w:val="0"/>
        <w:spacing w:before="156" w:beforeLines="50" w:line="360" w:lineRule="auto"/>
        <w:ind w:firstLineChars="0"/>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before="156" w:beforeLines="50" w:line="360" w:lineRule="auto"/>
        <w:jc w:val="left"/>
        <w:rPr>
          <w:rFonts w:ascii="宋体" w:hAnsi="宋体"/>
          <w:b/>
          <w:bCs/>
          <w:color w:val="000000"/>
          <w:kern w:val="0"/>
          <w:szCs w:val="21"/>
        </w:rPr>
      </w:pPr>
    </w:p>
    <w:p>
      <w:pPr>
        <w:spacing w:line="360" w:lineRule="auto"/>
        <w:rPr>
          <w:szCs w:val="21"/>
          <w:u w:val="single"/>
        </w:rPr>
      </w:pPr>
      <w:r>
        <w:rPr>
          <w:rFonts w:hint="eastAsia"/>
          <w:szCs w:val="21"/>
        </w:rPr>
        <w:t>供应商名称</w:t>
      </w:r>
      <w:r>
        <w:rPr>
          <w:rFonts w:hint="eastAsia" w:ascii="宋体"/>
          <w:szCs w:val="21"/>
        </w:rPr>
        <w:t>（</w:t>
      </w:r>
      <w:r>
        <w:rPr>
          <w:rFonts w:hint="eastAsia" w:ascii="宋体" w:hAnsi="宋体"/>
          <w:szCs w:val="21"/>
        </w:rPr>
        <w:t>单位盖</w:t>
      </w:r>
      <w:r>
        <w:rPr>
          <w:rFonts w:hint="eastAsia"/>
          <w:spacing w:val="4"/>
          <w:szCs w:val="21"/>
        </w:rPr>
        <w:t>公章</w:t>
      </w:r>
      <w:r>
        <w:rPr>
          <w:rFonts w:hint="eastAsia" w:ascii="宋体"/>
          <w:szCs w:val="21"/>
        </w:rPr>
        <w:t>）</w:t>
      </w:r>
      <w:r>
        <w:rPr>
          <w:rFonts w:hint="eastAsia"/>
          <w:szCs w:val="21"/>
        </w:rPr>
        <w:t>：</w:t>
      </w:r>
      <w:r>
        <w:rPr>
          <w:rFonts w:hint="eastAsia"/>
          <w:szCs w:val="21"/>
          <w:u w:val="single"/>
        </w:rPr>
        <w:t xml:space="preserve">                          </w:t>
      </w:r>
    </w:p>
    <w:p>
      <w:pPr>
        <w:spacing w:line="360" w:lineRule="auto"/>
        <w:rPr>
          <w:szCs w:val="21"/>
          <w:u w:val="single"/>
        </w:rPr>
      </w:pPr>
      <w:r>
        <w:rPr>
          <w:rFonts w:hint="eastAsia"/>
          <w:szCs w:val="21"/>
        </w:rPr>
        <w:t>日期：</w:t>
      </w:r>
      <w:r>
        <w:rPr>
          <w:rFonts w:hint="eastAsia"/>
          <w:szCs w:val="21"/>
          <w:u w:val="single"/>
        </w:rPr>
        <w:t xml:space="preserve">                       </w:t>
      </w: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pStyle w:val="30"/>
      </w:pPr>
    </w:p>
    <w:p>
      <w:pPr>
        <w:spacing w:line="440" w:lineRule="exact"/>
        <w:rPr>
          <w:rFonts w:ascii="黑体" w:eastAsia="黑体"/>
          <w:bCs/>
          <w:sz w:val="28"/>
        </w:rPr>
      </w:pP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法定代表人授权委托书</w:t>
      </w:r>
    </w:p>
    <w:p>
      <w:pPr>
        <w:pStyle w:val="11"/>
        <w:spacing w:line="360" w:lineRule="auto"/>
        <w:ind w:right="84" w:rightChars="40" w:firstLine="420" w:firstLineChars="200"/>
        <w:rPr>
          <w:rFonts w:hAnsi="宋体" w:cs="宋体"/>
          <w:sz w:val="21"/>
          <w:szCs w:val="21"/>
        </w:rPr>
      </w:pPr>
      <w:r>
        <w:rPr>
          <w:rFonts w:hint="eastAsia" w:hAnsi="宋体" w:cs="宋体"/>
          <w:sz w:val="21"/>
          <w:szCs w:val="21"/>
        </w:rPr>
        <w:t>本授权委托书声明：注册于</w:t>
      </w:r>
      <w:r>
        <w:rPr>
          <w:rFonts w:hint="eastAsia" w:hAnsi="宋体" w:cs="宋体"/>
          <w:sz w:val="21"/>
          <w:szCs w:val="21"/>
          <w:u w:val="single"/>
        </w:rPr>
        <w:t xml:space="preserve">    （响应供应商地址）  </w:t>
      </w:r>
      <w:r>
        <w:rPr>
          <w:rFonts w:hint="eastAsia" w:hAnsi="宋体" w:cs="宋体"/>
          <w:sz w:val="21"/>
          <w:szCs w:val="21"/>
        </w:rPr>
        <w:t>的</w:t>
      </w:r>
      <w:r>
        <w:rPr>
          <w:rFonts w:hint="eastAsia" w:hAnsi="宋体" w:cs="宋体"/>
          <w:sz w:val="21"/>
          <w:szCs w:val="21"/>
          <w:u w:val="single"/>
        </w:rPr>
        <w:t xml:space="preserve">  （响应供应商名称）    </w:t>
      </w:r>
      <w:r>
        <w:rPr>
          <w:rFonts w:hint="eastAsia" w:hAnsi="宋体" w:cs="宋体"/>
          <w:sz w:val="21"/>
          <w:szCs w:val="21"/>
        </w:rPr>
        <w:t>在下面签名的</w:t>
      </w:r>
      <w:r>
        <w:rPr>
          <w:rFonts w:hint="eastAsia" w:hAnsi="宋体" w:cs="宋体"/>
          <w:sz w:val="21"/>
          <w:szCs w:val="21"/>
          <w:u w:val="single"/>
        </w:rPr>
        <w:t>（法定代表人姓名、职务）</w:t>
      </w:r>
      <w:r>
        <w:rPr>
          <w:rFonts w:hint="eastAsia" w:hAnsi="宋体" w:cs="宋体"/>
          <w:sz w:val="21"/>
          <w:szCs w:val="21"/>
        </w:rPr>
        <w:t>在此授权</w:t>
      </w:r>
      <w:r>
        <w:rPr>
          <w:rFonts w:hint="eastAsia" w:hAnsi="宋体" w:cs="宋体"/>
          <w:sz w:val="21"/>
          <w:szCs w:val="21"/>
          <w:u w:val="single"/>
        </w:rPr>
        <w:t>（被授权人姓名、联系方式）</w:t>
      </w:r>
      <w:r>
        <w:rPr>
          <w:rFonts w:hint="eastAsia" w:hAnsi="宋体" w:cs="宋体"/>
          <w:sz w:val="21"/>
          <w:szCs w:val="21"/>
        </w:rPr>
        <w:t>作为我公司的合法代理人，就</w:t>
      </w:r>
      <w:r>
        <w:rPr>
          <w:rFonts w:hint="eastAsia" w:hAnsi="宋体" w:cs="宋体"/>
          <w:sz w:val="21"/>
          <w:szCs w:val="21"/>
          <w:u w:val="single"/>
        </w:rPr>
        <w:t xml:space="preserve">  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公开竞价采购（项目编号：GDCFCG-GDGZ-20230079）</w:t>
      </w:r>
      <w:r>
        <w:rPr>
          <w:rFonts w:hint="eastAsia" w:hAnsi="宋体" w:cs="宋体"/>
          <w:sz w:val="21"/>
          <w:szCs w:val="21"/>
        </w:rPr>
        <w:t>的竞价活动，合同的签订、执行、完成和售后服务，作为响应供应商代表以我方的名义处理一切与之有关的事务。</w:t>
      </w:r>
    </w:p>
    <w:p>
      <w:pPr>
        <w:pStyle w:val="11"/>
        <w:spacing w:line="360" w:lineRule="auto"/>
        <w:ind w:right="279" w:rightChars="133" w:firstLine="420" w:firstLineChars="200"/>
        <w:rPr>
          <w:rFonts w:hAnsi="宋体" w:cs="宋体"/>
          <w:sz w:val="21"/>
          <w:szCs w:val="21"/>
        </w:rPr>
      </w:pPr>
      <w:r>
        <w:rPr>
          <w:rFonts w:hint="eastAsia" w:hAnsi="宋体" w:cs="宋体"/>
          <w:sz w:val="21"/>
          <w:szCs w:val="21"/>
        </w:rPr>
        <w:t>被授权人（响应供应商授权代表）无转委托权限。</w:t>
      </w:r>
    </w:p>
    <w:p>
      <w:pPr>
        <w:spacing w:line="360" w:lineRule="auto"/>
        <w:ind w:right="279" w:rightChars="133" w:firstLine="420" w:firstLineChars="200"/>
        <w:rPr>
          <w:rFonts w:ascii="宋体" w:hAnsi="宋体" w:cs="宋体"/>
          <w:szCs w:val="21"/>
        </w:rPr>
      </w:pPr>
      <w:r>
        <w:rPr>
          <w:rFonts w:hint="eastAsia" w:ascii="宋体" w:hAnsi="宋体" w:cs="宋体"/>
          <w:szCs w:val="21"/>
        </w:rPr>
        <w:t>本授权书自法定代表人签字之日起生效，特此声明。</w:t>
      </w:r>
    </w:p>
    <w:p>
      <w:pPr>
        <w:spacing w:line="480" w:lineRule="auto"/>
        <w:ind w:left="2" w:leftChars="1" w:firstLine="1365" w:firstLineChars="650"/>
        <w:rPr>
          <w:rFonts w:ascii="宋体" w:hAnsi="宋体" w:cs="宋体"/>
          <w:szCs w:val="21"/>
        </w:rPr>
      </w:pPr>
    </w:p>
    <w:p>
      <w:pPr>
        <w:spacing w:line="360" w:lineRule="auto"/>
        <w:rPr>
          <w:rFonts w:ascii="宋体" w:hAnsi="宋体" w:cs="宋体"/>
          <w:b/>
          <w:szCs w:val="21"/>
        </w:rPr>
      </w:pPr>
      <w:r>
        <w:rPr>
          <w:rFonts w:hint="eastAsia" w:ascii="宋体" w:hAnsi="宋体" w:cs="宋体"/>
          <w:b/>
          <w:szCs w:val="21"/>
        </w:rPr>
        <w:t>随附《法定代表人证明》</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响应供应商名称（盖公章）：</w:t>
      </w:r>
      <w:r>
        <w:rPr>
          <w:rFonts w:hint="eastAsia" w:ascii="宋体" w:hAnsi="宋体" w:cs="宋体"/>
          <w:szCs w:val="21"/>
          <w:u w:val="single"/>
        </w:rPr>
        <w:t xml:space="preserve">                     </w:t>
      </w:r>
    </w:p>
    <w:p>
      <w:pPr>
        <w:tabs>
          <w:tab w:val="left" w:pos="3780"/>
        </w:tabs>
        <w:spacing w:line="360" w:lineRule="auto"/>
        <w:rPr>
          <w:rFonts w:ascii="宋体" w:hAnsi="宋体" w:cs="宋体"/>
          <w:szCs w:val="21"/>
          <w:u w:val="single"/>
        </w:rPr>
      </w:pPr>
      <w:r>
        <w:rPr>
          <w:rFonts w:hint="eastAsia" w:ascii="宋体" w:hAnsi="宋体" w:cs="宋体"/>
          <w:b/>
          <w:bCs/>
          <w:szCs w:val="21"/>
        </w:rPr>
        <w:t>法定代表人（签字或盖章）</w:t>
      </w:r>
      <w:r>
        <w:rPr>
          <w:rFonts w:hint="eastAsia" w:ascii="宋体" w:hAnsi="宋体" w:cs="宋体"/>
          <w:szCs w:val="21"/>
        </w:rPr>
        <w:t>：</w:t>
      </w:r>
      <w:r>
        <w:rPr>
          <w:rFonts w:hint="eastAsia" w:ascii="宋体" w:hAnsi="宋体" w:cs="宋体"/>
          <w:szCs w:val="21"/>
          <w:u w:val="single"/>
        </w:rPr>
        <w:t xml:space="preserve">                     </w:t>
      </w:r>
    </w:p>
    <w:p>
      <w:pPr>
        <w:tabs>
          <w:tab w:val="left" w:pos="3780"/>
        </w:tabs>
        <w:spacing w:line="360" w:lineRule="auto"/>
        <w:rPr>
          <w:rFonts w:ascii="宋体" w:hAnsi="宋体" w:cs="宋体"/>
          <w:szCs w:val="21"/>
        </w:rPr>
      </w:pPr>
      <w:r>
        <w:rPr>
          <w:rFonts w:hint="eastAsia" w:ascii="宋体" w:hAnsi="宋体" w:cs="宋体"/>
          <w:szCs w:val="21"/>
        </w:rPr>
        <w:t>签字日期：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p>
    <w:p>
      <w:pPr>
        <w:spacing w:line="360" w:lineRule="auto"/>
        <w:rPr>
          <w:rFonts w:ascii="宋体" w:hAnsi="宋体" w:cs="宋体"/>
          <w:sz w:val="25"/>
          <w:szCs w:val="25"/>
        </w:rPr>
      </w:pPr>
      <w:r>
        <w:rPr>
          <w:rFonts w:ascii="宋体" w:hAnsi="宋体" w:cs="宋体"/>
          <w:sz w:val="25"/>
          <w:szCs w:val="25"/>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217805</wp:posOffset>
                </wp:positionV>
                <wp:extent cx="2785745" cy="2153920"/>
                <wp:effectExtent l="4445" t="5080" r="10160" b="12700"/>
                <wp:wrapNone/>
                <wp:docPr id="3" name="Rectangle 4"/>
                <wp:cNvGraphicFramePr/>
                <a:graphic xmlns:a="http://schemas.openxmlformats.org/drawingml/2006/main">
                  <a:graphicData uri="http://schemas.microsoft.com/office/word/2010/wordprocessingShape">
                    <wps:wsp>
                      <wps:cNvSpPr/>
                      <wps:spPr>
                        <a:xfrm>
                          <a:off x="0" y="0"/>
                          <a:ext cx="2785745" cy="215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wps:txbx>
                      <wps:bodyPr vert="horz" wrap="square" anchor="t" anchorCtr="0" upright="1"/>
                    </wps:wsp>
                  </a:graphicData>
                </a:graphic>
              </wp:anchor>
            </w:drawing>
          </mc:Choice>
          <mc:Fallback>
            <w:pict>
              <v:rect id="Rectangle 4" o:spid="_x0000_s1026" o:spt="1" style="position:absolute;left:0pt;margin-left:208.75pt;margin-top:17.15pt;height:169.6pt;width:219.35pt;z-index:251661312;mso-width-relative:page;mso-height-relative:page;" fillcolor="#FFFFFF" filled="t" stroked="t" coordsize="21600,21600" o:gfxdata="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Pz3A2QAAAAoB&#10;AAAPAAAAAAAAAAEAIAAAACIAAABkcnMvZG93bnJldi54bWxQSwECFAAUAAAACACHTuJA3o0Q/xoC&#10;AABgBAAADgAAAAAAAAABACAAAAAoAQAAZHJzL2Uyb0RvYy54bWxQSwUGAAAAAAYABgBZAQAAtAUA&#10;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v:textbox>
              </v:rect>
            </w:pict>
          </mc:Fallback>
        </mc:AlternateContent>
      </w:r>
      <w:r>
        <w:rPr>
          <w:rFonts w:ascii="宋体" w:hAnsi="宋体" w:cs="宋体"/>
          <w:sz w:val="25"/>
          <w:szCs w:val="25"/>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217170</wp:posOffset>
                </wp:positionV>
                <wp:extent cx="2643505" cy="2114550"/>
                <wp:effectExtent l="4445" t="5080" r="19050" b="13970"/>
                <wp:wrapNone/>
                <wp:docPr id="2" name="Rectangle 3"/>
                <wp:cNvGraphicFramePr/>
                <a:graphic xmlns:a="http://schemas.openxmlformats.org/drawingml/2006/main">
                  <a:graphicData uri="http://schemas.microsoft.com/office/word/2010/wordprocessingShape">
                    <wps:wsp>
                      <wps:cNvSpPr/>
                      <wps:spPr>
                        <a:xfrm>
                          <a:off x="0" y="0"/>
                          <a:ext cx="2643505"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wps:txbx>
                      <wps:bodyPr wrap="square" upright="1"/>
                    </wps:wsp>
                  </a:graphicData>
                </a:graphic>
              </wp:anchor>
            </w:drawing>
          </mc:Choice>
          <mc:Fallback>
            <w:pict>
              <v:rect id="Rectangle 3" o:spid="_x0000_s1026" o:spt="1" style="position:absolute;left:0pt;margin-left:-12.95pt;margin-top:17.1pt;height:166.5pt;width:208.15pt;z-index:251660288;mso-width-relative:page;mso-height-relative:page;" fillcolor="#FFFFFF" filled="t" stroked="t" coordsize="21600,21600" o:gfxdata="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mV9P9kAAAAKAQAADwAAAAAAAAABACAAAAAiAAAAZHJz&#10;L2Rvd25yZXYueG1sUEsBAhQAFAAAAAgAh07iQFjP1oEDAgAAOwQAAA4AAAAAAAAAAQAgAAAAKAEA&#10;AGRycy9lMm9Eb2MueG1sUEsFBgAAAAAGAAYAWQEAAJ0FA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v:textbox>
              </v:rect>
            </w:pict>
          </mc:Fallback>
        </mc:AlternateContent>
      </w:r>
      <w:bookmarkStart w:id="34" w:name="_Toc226217114"/>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p>
      <w:pPr>
        <w:spacing w:line="440" w:lineRule="exact"/>
        <w:rPr>
          <w:rFonts w:ascii="宋体" w:hAnsi="宋体" w:cs="宋体"/>
          <w:sz w:val="25"/>
          <w:szCs w:val="25"/>
        </w:rPr>
      </w:pPr>
    </w:p>
    <w:bookmarkEnd w:id="34"/>
    <w:p>
      <w:pPr>
        <w:widowControl/>
        <w:jc w:val="left"/>
        <w:rPr>
          <w:rFonts w:ascii="宋体" w:hAnsi="宋体"/>
          <w:bCs/>
        </w:rPr>
      </w:pPr>
    </w:p>
    <w:p>
      <w:pPr>
        <w:spacing w:line="440" w:lineRule="exact"/>
      </w:pPr>
      <w:r>
        <w:br w:type="page"/>
      </w:r>
    </w:p>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法定代表人证明书</w:t>
      </w:r>
    </w:p>
    <w:p>
      <w:pPr>
        <w:tabs>
          <w:tab w:val="left" w:pos="900"/>
        </w:tabs>
        <w:spacing w:line="480" w:lineRule="auto"/>
        <w:ind w:firstLine="945" w:firstLineChars="450"/>
        <w:rPr>
          <w:rFonts w:ascii="宋体" w:hAnsi="宋体"/>
        </w:rPr>
      </w:pPr>
      <w:r>
        <w:rPr>
          <w:rFonts w:hint="eastAsia" w:ascii="宋体" w:hAnsi="宋体"/>
          <w:u w:val="single"/>
        </w:rPr>
        <w:t xml:space="preserve">            </w:t>
      </w:r>
      <w:r>
        <w:rPr>
          <w:rFonts w:hint="eastAsia" w:ascii="宋体" w:hAnsi="宋体"/>
        </w:rPr>
        <w:t>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有效日期与本公司报价文件中标注的投标有效期相同。签发日期：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营业执照（注册号）：</w:t>
      </w:r>
      <w:r>
        <w:rPr>
          <w:rFonts w:hint="eastAsia" w:ascii="宋体" w:hAnsi="宋体" w:cs="宋体"/>
          <w:szCs w:val="21"/>
          <w:u w:val="single"/>
        </w:rPr>
        <w:t xml:space="preserve">                     </w:t>
      </w:r>
      <w:r>
        <w:rPr>
          <w:rFonts w:hint="eastAsia" w:ascii="宋体" w:hAnsi="宋体"/>
        </w:rPr>
        <w:t xml:space="preserve">                       </w:t>
      </w:r>
    </w:p>
    <w:p>
      <w:pPr>
        <w:spacing w:line="480" w:lineRule="auto"/>
        <w:ind w:firstLine="840" w:firstLineChars="400"/>
        <w:rPr>
          <w:rFonts w:ascii="宋体" w:hAnsi="宋体"/>
        </w:rPr>
      </w:pPr>
      <w:r>
        <w:rPr>
          <w:rFonts w:hint="eastAsia" w:ascii="宋体" w:hAnsi="宋体"/>
        </w:rPr>
        <w:t>经济性质：</w:t>
      </w:r>
      <w:r>
        <w:rPr>
          <w:rFonts w:hint="eastAsia" w:ascii="宋体" w:hAnsi="宋体" w:cs="宋体"/>
          <w:szCs w:val="21"/>
          <w:u w:val="single"/>
        </w:rPr>
        <w:t xml:space="preserve">                     </w:t>
      </w:r>
    </w:p>
    <w:p>
      <w:pPr>
        <w:spacing w:line="480" w:lineRule="auto"/>
        <w:ind w:firstLine="840" w:firstLineChars="400"/>
        <w:rPr>
          <w:rFonts w:ascii="宋体" w:hAnsi="宋体"/>
        </w:rPr>
      </w:pPr>
      <w:r>
        <w:rPr>
          <w:rFonts w:hint="eastAsia" w:ascii="宋体" w:hAnsi="宋体"/>
        </w:rPr>
        <w:t>主营（产）：</w:t>
      </w:r>
      <w:r>
        <w:rPr>
          <w:rFonts w:hint="eastAsia" w:ascii="宋体" w:hAnsi="宋体" w:cs="宋体"/>
          <w:szCs w:val="21"/>
          <w:u w:val="single"/>
        </w:rPr>
        <w:t xml:space="preserve">                     </w:t>
      </w:r>
    </w:p>
    <w:p>
      <w:pPr>
        <w:spacing w:line="480" w:lineRule="auto"/>
        <w:ind w:firstLine="840" w:firstLineChars="400"/>
        <w:rPr>
          <w:rFonts w:ascii="宋体" w:hAnsi="宋体"/>
        </w:rPr>
      </w:pPr>
      <w:r>
        <w:rPr>
          <w:rFonts w:hint="eastAsia" w:ascii="宋体" w:hAnsi="宋体"/>
        </w:rPr>
        <w:t>兼营（产）：</w:t>
      </w:r>
      <w:r>
        <w:rPr>
          <w:rFonts w:hint="eastAsia" w:ascii="宋体" w:hAnsi="宋体" w:cs="宋体"/>
          <w:szCs w:val="21"/>
          <w:u w:val="single"/>
        </w:rPr>
        <w:t xml:space="preserve">                     </w:t>
      </w:r>
    </w:p>
    <w:p>
      <w:pPr>
        <w:spacing w:line="480" w:lineRule="auto"/>
        <w:ind w:firstLine="1000" w:firstLineChars="400"/>
        <w:rPr>
          <w:rFonts w:ascii="宋体" w:hAnsi="宋体" w:cs="宋体"/>
          <w:sz w:val="25"/>
          <w:szCs w:val="25"/>
        </w:rPr>
      </w:pPr>
      <w:r>
        <w:rPr>
          <w:rFonts w:ascii="宋体" w:hAnsi="宋体" w:cs="宋体"/>
          <w:sz w:val="25"/>
          <w:szCs w:val="25"/>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243840</wp:posOffset>
                </wp:positionV>
                <wp:extent cx="2599690" cy="1924685"/>
                <wp:effectExtent l="5080" t="5080" r="5080" b="13335"/>
                <wp:wrapNone/>
                <wp:docPr id="5" name="Rectangle 5"/>
                <wp:cNvGraphicFramePr/>
                <a:graphic xmlns:a="http://schemas.openxmlformats.org/drawingml/2006/main">
                  <a:graphicData uri="http://schemas.microsoft.com/office/word/2010/wordprocessingShape">
                    <wps:wsp>
                      <wps:cNvSpPr/>
                      <wps:spPr>
                        <a:xfrm>
                          <a:off x="0" y="0"/>
                          <a:ext cx="2599690" cy="1924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wps:txbx>
                      <wps:bodyPr wrap="square" upright="1"/>
                    </wps:wsp>
                  </a:graphicData>
                </a:graphic>
              </wp:anchor>
            </w:drawing>
          </mc:Choice>
          <mc:Fallback>
            <w:pict>
              <v:rect id="Rectangle 5" o:spid="_x0000_s1026" o:spt="1" style="position:absolute;left:0pt;margin-left:214.85pt;margin-top:19.2pt;height:151.55pt;width:204.7pt;z-index:251663360;mso-width-relative:page;mso-height-relative:page;" fillcolor="#FFFFFF" filled="t" stroked="t" coordsize="21600,21600" o:gfxdata="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CUytkAAAAKAQAADwAAAAAAAAABACAAAAAiAAAAZHJz&#10;L2Rvd25yZXYueG1sUEsBAhQAFAAAAAgAh07iQLOkEIADAgAAOwQAAA4AAAAAAAAAAQAgAAAAKAEA&#10;AGRycy9lMm9Eb2MueG1sUEsFBgAAAAAGAAYAWQEAAJ0FA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v:textbox>
              </v:rect>
            </w:pict>
          </mc:Fallback>
        </mc:AlternateContent>
      </w:r>
      <w:r>
        <w:rPr>
          <w:rFonts w:ascii="宋体" w:hAnsi="宋体" w:cs="宋体"/>
          <w:sz w:val="25"/>
          <w:szCs w:val="25"/>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2399665" cy="1882140"/>
                <wp:effectExtent l="5080" t="5080" r="14605" b="17780"/>
                <wp:wrapNone/>
                <wp:docPr id="4" name="Rectangle 2"/>
                <wp:cNvGraphicFramePr/>
                <a:graphic xmlns:a="http://schemas.openxmlformats.org/drawingml/2006/main">
                  <a:graphicData uri="http://schemas.microsoft.com/office/word/2010/wordprocessingShape">
                    <wps:wsp>
                      <wps:cNvSpPr/>
                      <wps:spPr>
                        <a:xfrm>
                          <a:off x="0" y="0"/>
                          <a:ext cx="239966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wps:txbx>
                      <wps:bodyPr wrap="square" upright="1"/>
                    </wps:wsp>
                  </a:graphicData>
                </a:graphic>
              </wp:anchor>
            </w:drawing>
          </mc:Choice>
          <mc:Fallback>
            <w:pict>
              <v:rect id="Rectangle 2" o:spid="_x0000_s1026" o:spt="1" style="position:absolute;left:0pt;margin-left:3.4pt;margin-top:19.2pt;height:148.2pt;width:188.95pt;z-index:251662336;mso-width-relative:page;mso-height-relative:page;" fillcolor="#FFFFFF" filled="t" stroked="t" coordsize="21600,21600" o:gfxdata="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XY1E1wAAAAgBAAAPAAAAAAAAAAEAIAAAACIAAABkcnMv&#10;ZG93bnJldi54bWxQSwECFAAUAAAACACHTuJA7kShtQQCAAA7BAAADgAAAAAAAAABACAAAAAmAQAA&#10;ZHJzL2Uyb0RvYy54bWxQSwUGAAAAAAYABgBZAQAAnAU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v:textbox>
              </v:rect>
            </w:pict>
          </mc:Fallback>
        </mc:AlternateContent>
      </w: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b/>
          <w:bCs/>
          <w:szCs w:val="21"/>
        </w:rPr>
      </w:pPr>
    </w:p>
    <w:p>
      <w:pPr>
        <w:spacing w:line="500" w:lineRule="exact"/>
        <w:rPr>
          <w:rFonts w:ascii="宋体" w:hAnsi="宋体" w:cs="宋体"/>
          <w:szCs w:val="21"/>
        </w:rPr>
      </w:pPr>
      <w:r>
        <w:rPr>
          <w:rFonts w:hint="eastAsia" w:ascii="宋体" w:hAnsi="宋体" w:cs="宋体"/>
          <w:b/>
          <w:bCs/>
          <w:szCs w:val="21"/>
        </w:rPr>
        <w:t xml:space="preserve">                           </w:t>
      </w:r>
      <w:r>
        <w:rPr>
          <w:rFonts w:hint="eastAsia" w:ascii="宋体" w:hAnsi="宋体" w:cs="宋体"/>
          <w:szCs w:val="21"/>
        </w:rPr>
        <w:t>响应供应商名称：（盖公章）：</w:t>
      </w:r>
      <w:r>
        <w:rPr>
          <w:rFonts w:hint="eastAsia" w:ascii="宋体" w:hAnsi="宋体" w:cs="宋体"/>
          <w:szCs w:val="21"/>
          <w:u w:val="single"/>
        </w:rPr>
        <w:t xml:space="preserve">                     </w:t>
      </w:r>
    </w:p>
    <w:p>
      <w:pPr>
        <w:spacing w:line="500" w:lineRule="exact"/>
        <w:rPr>
          <w:rFonts w:ascii="宋体" w:hAnsi="宋体" w:cs="宋体"/>
          <w:szCs w:val="21"/>
        </w:rPr>
      </w:pPr>
      <w:r>
        <w:rPr>
          <w:rFonts w:hint="eastAsia" w:ascii="宋体" w:hAnsi="宋体" w:cs="宋体"/>
          <w:szCs w:val="21"/>
        </w:rPr>
        <w:t xml:space="preserve">                                               日期：</w:t>
      </w:r>
      <w:r>
        <w:rPr>
          <w:rFonts w:hint="eastAsia" w:ascii="宋体" w:hAnsi="宋体" w:cs="宋体"/>
          <w:szCs w:val="21"/>
          <w:u w:val="single"/>
        </w:rPr>
        <w:t xml:space="preserve">                     </w:t>
      </w:r>
    </w:p>
    <w:p>
      <w:pPr>
        <w:spacing w:line="500" w:lineRule="exact"/>
        <w:rPr>
          <w:rFonts w:ascii="宋体" w:hAnsi="宋体" w:cs="宋体"/>
          <w:bCs/>
          <w:sz w:val="25"/>
          <w:szCs w:val="25"/>
        </w:rPr>
      </w:pPr>
    </w:p>
    <w:p>
      <w:pPr>
        <w:spacing w:line="440" w:lineRule="exact"/>
        <w:rPr>
          <w:rFonts w:ascii="黑体" w:eastAsia="黑体"/>
          <w:bCs/>
          <w:color w:val="FF0000"/>
          <w:sz w:val="28"/>
        </w:rPr>
      </w:pPr>
      <w:r>
        <w:rPr>
          <w:rFonts w:ascii="黑体" w:eastAsia="黑体"/>
          <w:bCs/>
          <w:color w:val="FF0000"/>
          <w:sz w:val="28"/>
        </w:rPr>
        <w:br w:type="page"/>
      </w:r>
    </w:p>
    <w:p>
      <w:pPr>
        <w:pStyle w:val="6"/>
        <w:tabs>
          <w:tab w:val="left" w:pos="709"/>
        </w:tabs>
        <w:snapToGrid w:val="0"/>
        <w:spacing w:before="124" w:beforeLines="40" w:after="312" w:afterLines="100"/>
        <w:ind w:firstLine="0" w:firstLineChars="0"/>
        <w:jc w:val="center"/>
        <w:rPr>
          <w:rFonts w:ascii="宋体" w:hAnsi="宋体" w:cs="宋体"/>
          <w:b/>
          <w:sz w:val="32"/>
          <w:szCs w:val="32"/>
        </w:rPr>
      </w:pPr>
      <w:bookmarkStart w:id="35" w:name="_承诺函"/>
      <w:bookmarkEnd w:id="35"/>
      <w:r>
        <w:rPr>
          <w:rFonts w:hint="eastAsia" w:ascii="宋体" w:hAnsi="宋体" w:cs="宋体"/>
          <w:b/>
          <w:sz w:val="32"/>
          <w:szCs w:val="32"/>
        </w:rPr>
        <w:t>报 价 表</w:t>
      </w:r>
    </w:p>
    <w:p>
      <w:pPr>
        <w:tabs>
          <w:tab w:val="left" w:pos="7740"/>
        </w:tabs>
        <w:adjustRightInd w:val="0"/>
        <w:snapToGrid w:val="0"/>
        <w:rPr>
          <w:rFonts w:ascii="宋体" w:hAnsi="宋体" w:cs="宋体"/>
          <w:szCs w:val="21"/>
        </w:rPr>
      </w:pPr>
      <w:r>
        <w:rPr>
          <w:rFonts w:hint="eastAsia" w:ascii="宋体" w:hAnsi="宋体"/>
        </w:rPr>
        <w:t>响应供应商名称：                                       项目编号：</w:t>
      </w:r>
      <w:r>
        <w:rPr>
          <w:rFonts w:hint="eastAsia" w:ascii="宋体" w:hAnsi="宋体" w:cs="宋体"/>
          <w:szCs w:val="21"/>
        </w:rPr>
        <w:t>GDCFCG-GDGZ-20230079</w:t>
      </w:r>
    </w:p>
    <w:p>
      <w:pPr>
        <w:tabs>
          <w:tab w:val="left" w:pos="7740"/>
        </w:tabs>
        <w:adjustRightInd w:val="0"/>
        <w:snapToGrid w:val="0"/>
        <w:rPr>
          <w:rFonts w:ascii="宋体" w:hAnsi="宋体" w:cs="宋体"/>
          <w:szCs w:val="21"/>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751"/>
        <w:gridCol w:w="2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1" w:hRule="atLeast"/>
        </w:trPr>
        <w:tc>
          <w:tcPr>
            <w:tcW w:w="1094" w:type="dxa"/>
            <w:tcBorders>
              <w:bottom w:val="double" w:color="auto" w:sz="4" w:space="0"/>
            </w:tcBorders>
            <w:shd w:val="clear" w:color="auto" w:fill="EEECE1"/>
            <w:noWrap/>
            <w:vAlign w:val="center"/>
          </w:tcPr>
          <w:p>
            <w:pPr>
              <w:spacing w:line="360" w:lineRule="auto"/>
              <w:jc w:val="center"/>
              <w:rPr>
                <w:rFonts w:ascii="宋体"/>
                <w:b/>
                <w:szCs w:val="21"/>
              </w:rPr>
            </w:pPr>
            <w:r>
              <w:rPr>
                <w:rFonts w:hint="eastAsia" w:ascii="宋体"/>
                <w:b/>
                <w:szCs w:val="21"/>
              </w:rPr>
              <w:t>包组号</w:t>
            </w:r>
          </w:p>
        </w:tc>
        <w:tc>
          <w:tcPr>
            <w:tcW w:w="2788" w:type="dxa"/>
            <w:tcBorders>
              <w:bottom w:val="double" w:color="auto" w:sz="4" w:space="0"/>
            </w:tcBorders>
            <w:shd w:val="clear" w:color="auto" w:fill="EEECE1"/>
            <w:noWrap/>
            <w:vAlign w:val="center"/>
          </w:tcPr>
          <w:p>
            <w:pPr>
              <w:spacing w:line="360" w:lineRule="auto"/>
              <w:jc w:val="center"/>
              <w:rPr>
                <w:rFonts w:ascii="宋体"/>
                <w:b/>
                <w:szCs w:val="21"/>
              </w:rPr>
            </w:pPr>
            <w:r>
              <w:rPr>
                <w:rFonts w:hint="eastAsia" w:ascii="宋体"/>
                <w:b/>
                <w:szCs w:val="21"/>
              </w:rPr>
              <w:t>采购内容</w:t>
            </w:r>
          </w:p>
        </w:tc>
        <w:tc>
          <w:tcPr>
            <w:tcW w:w="2751" w:type="dxa"/>
            <w:tcBorders>
              <w:bottom w:val="double" w:color="auto" w:sz="4" w:space="0"/>
            </w:tcBorders>
            <w:shd w:val="clear" w:color="auto" w:fill="EEECE1"/>
            <w:noWrap/>
            <w:vAlign w:val="center"/>
          </w:tcPr>
          <w:p>
            <w:pPr>
              <w:jc w:val="center"/>
              <w:rPr>
                <w:rFonts w:ascii="宋体"/>
                <w:b/>
                <w:szCs w:val="21"/>
              </w:rPr>
            </w:pPr>
            <w:r>
              <w:rPr>
                <w:rFonts w:hint="eastAsia" w:ascii="宋体"/>
                <w:b/>
                <w:szCs w:val="21"/>
              </w:rPr>
              <w:t>竞价报价</w:t>
            </w:r>
          </w:p>
          <w:p>
            <w:pPr>
              <w:jc w:val="center"/>
              <w:rPr>
                <w:rFonts w:ascii="宋体"/>
                <w:b/>
                <w:szCs w:val="21"/>
              </w:rPr>
            </w:pPr>
            <w:r>
              <w:rPr>
                <w:rFonts w:hint="eastAsia" w:ascii="宋体"/>
                <w:b/>
                <w:szCs w:val="21"/>
              </w:rPr>
              <w:t>（人民币 元）</w:t>
            </w:r>
          </w:p>
        </w:tc>
        <w:tc>
          <w:tcPr>
            <w:tcW w:w="2320" w:type="dxa"/>
            <w:tcBorders>
              <w:bottom w:val="double" w:color="auto" w:sz="4" w:space="0"/>
            </w:tcBorders>
            <w:shd w:val="clear" w:color="auto" w:fill="EEECE1"/>
            <w:noWrap/>
            <w:vAlign w:val="center"/>
          </w:tcPr>
          <w:p>
            <w:pPr>
              <w:jc w:val="center"/>
              <w:rPr>
                <w:rFonts w:ascii="宋体"/>
                <w:b/>
                <w:szCs w:val="21"/>
              </w:rPr>
            </w:pPr>
            <w:r>
              <w:rPr>
                <w:rFonts w:hint="eastAsia" w:ascii="宋体"/>
                <w:b/>
                <w:szCs w:val="21"/>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094" w:type="dxa"/>
            <w:vMerge w:val="restart"/>
            <w:tcBorders>
              <w:top w:val="single" w:color="auto" w:sz="4" w:space="0"/>
            </w:tcBorders>
            <w:noWrap/>
            <w:vAlign w:val="center"/>
          </w:tcPr>
          <w:p>
            <w:pPr>
              <w:jc w:val="center"/>
              <w:rPr>
                <w:rFonts w:ascii="宋体"/>
                <w:bCs/>
                <w:szCs w:val="21"/>
              </w:rPr>
            </w:pPr>
            <w:r>
              <w:rPr>
                <w:rFonts w:hint="eastAsia"/>
                <w:szCs w:val="21"/>
              </w:rPr>
              <w:t>包组一</w:t>
            </w:r>
          </w:p>
        </w:tc>
        <w:tc>
          <w:tcPr>
            <w:tcW w:w="2788" w:type="dxa"/>
            <w:tcBorders>
              <w:top w:val="single" w:color="auto" w:sz="4" w:space="0"/>
              <w:bottom w:val="single" w:color="auto" w:sz="4" w:space="0"/>
            </w:tcBorders>
            <w:noWrap/>
            <w:vAlign w:val="center"/>
          </w:tcPr>
          <w:p>
            <w:pPr>
              <w:jc w:val="center"/>
              <w:rPr>
                <w:rFonts w:ascii="宋体"/>
                <w:bCs/>
                <w:szCs w:val="21"/>
              </w:rPr>
            </w:pPr>
            <w:r>
              <w:rPr>
                <w:rFonts w:hint="eastAsia" w:ascii="宋体"/>
                <w:bCs/>
                <w:szCs w:val="21"/>
              </w:rPr>
              <w:t>危险化学品使用储存场所安全现状评价和安全技术服务</w:t>
            </w:r>
          </w:p>
        </w:tc>
        <w:tc>
          <w:tcPr>
            <w:tcW w:w="2751" w:type="dxa"/>
            <w:vMerge w:val="restart"/>
            <w:tcBorders>
              <w:top w:val="single" w:color="auto" w:sz="4" w:space="0"/>
            </w:tcBorders>
            <w:noWrap/>
            <w:vAlign w:val="center"/>
          </w:tcPr>
          <w:p>
            <w:pPr>
              <w:rPr>
                <w:rFonts w:ascii="宋体"/>
                <w:bCs/>
                <w:szCs w:val="21"/>
                <w:u w:val="single"/>
              </w:rPr>
            </w:pPr>
            <w:r>
              <w:rPr>
                <w:rFonts w:hint="eastAsia" w:ascii="宋体"/>
                <w:bCs/>
                <w:szCs w:val="21"/>
              </w:rPr>
              <w:t>小写：RMB</w:t>
            </w:r>
            <w:r>
              <w:rPr>
                <w:rFonts w:hint="eastAsia" w:ascii="宋体"/>
                <w:bCs/>
                <w:szCs w:val="21"/>
                <w:u w:val="single"/>
              </w:rPr>
              <w:t xml:space="preserve">                </w:t>
            </w:r>
          </w:p>
          <w:p>
            <w:pPr>
              <w:rPr>
                <w:rFonts w:ascii="宋体"/>
                <w:bCs/>
                <w:szCs w:val="21"/>
              </w:rPr>
            </w:pPr>
            <w:r>
              <w:rPr>
                <w:rFonts w:hint="eastAsia" w:ascii="宋体"/>
                <w:bCs/>
                <w:szCs w:val="21"/>
              </w:rPr>
              <w:t>大写：</w:t>
            </w:r>
            <w:r>
              <w:rPr>
                <w:rFonts w:hint="eastAsia" w:ascii="宋体"/>
                <w:bCs/>
                <w:szCs w:val="21"/>
                <w:u w:val="single"/>
              </w:rPr>
              <w:t xml:space="preserve">                  </w:t>
            </w:r>
          </w:p>
        </w:tc>
        <w:tc>
          <w:tcPr>
            <w:tcW w:w="2320" w:type="dxa"/>
            <w:vMerge w:val="restart"/>
            <w:tcBorders>
              <w:top w:val="single" w:color="auto" w:sz="4" w:space="0"/>
            </w:tcBorders>
            <w:noWrap/>
            <w:vAlign w:val="center"/>
          </w:tcPr>
          <w:p>
            <w:pPr>
              <w:pStyle w:val="46"/>
              <w:spacing w:line="240" w:lineRule="auto"/>
              <w:rPr>
                <w:rFonts w:ascii="宋体" w:hAnsi="宋体"/>
                <w:snapToGrid/>
                <w:spacing w:val="0"/>
                <w:kern w:val="2"/>
                <w:sz w:val="21"/>
                <w:szCs w:val="21"/>
              </w:rPr>
            </w:pPr>
            <w:r>
              <w:rPr>
                <w:rFonts w:hint="eastAsia" w:ascii="宋体" w:hAnsi="宋体"/>
                <w:snapToGrid/>
                <w:spacing w:val="0"/>
                <w:kern w:val="2"/>
                <w:sz w:val="21"/>
                <w:szCs w:val="21"/>
              </w:rPr>
              <w:t>自合同签订之日起30个工作日内完成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094" w:type="dxa"/>
            <w:vMerge w:val="continue"/>
            <w:noWrap/>
            <w:vAlign w:val="center"/>
          </w:tcPr>
          <w:p>
            <w:pPr>
              <w:jc w:val="center"/>
              <w:rPr>
                <w:szCs w:val="21"/>
              </w:rPr>
            </w:pPr>
          </w:p>
        </w:tc>
        <w:tc>
          <w:tcPr>
            <w:tcW w:w="2788" w:type="dxa"/>
            <w:tcBorders>
              <w:top w:val="single" w:color="auto" w:sz="4" w:space="0"/>
            </w:tcBorders>
            <w:noWrap/>
            <w:vAlign w:val="center"/>
          </w:tcPr>
          <w:p>
            <w:pPr>
              <w:jc w:val="center"/>
              <w:rPr>
                <w:rFonts w:ascii="宋体"/>
                <w:bCs/>
                <w:szCs w:val="21"/>
              </w:rPr>
            </w:pPr>
            <w:r>
              <w:rPr>
                <w:rFonts w:hint="eastAsia" w:ascii="宋体"/>
                <w:bCs/>
                <w:szCs w:val="21"/>
              </w:rPr>
              <w:t>职业病危害因素检测</w:t>
            </w:r>
          </w:p>
        </w:tc>
        <w:tc>
          <w:tcPr>
            <w:tcW w:w="2751" w:type="dxa"/>
            <w:vMerge w:val="continue"/>
            <w:noWrap/>
            <w:vAlign w:val="center"/>
          </w:tcPr>
          <w:p>
            <w:pPr>
              <w:rPr>
                <w:rFonts w:ascii="宋体"/>
                <w:bCs/>
                <w:szCs w:val="21"/>
              </w:rPr>
            </w:pPr>
          </w:p>
        </w:tc>
        <w:tc>
          <w:tcPr>
            <w:tcW w:w="2320" w:type="dxa"/>
            <w:vMerge w:val="continue"/>
            <w:noWrap/>
            <w:vAlign w:val="center"/>
          </w:tcPr>
          <w:p>
            <w:pPr>
              <w:pStyle w:val="46"/>
              <w:spacing w:line="240" w:lineRule="auto"/>
              <w:rPr>
                <w:rFonts w:ascii="宋体" w:hAnsi="宋体"/>
                <w:snapToGrid/>
                <w:spacing w:val="0"/>
                <w:kern w:val="2"/>
                <w:sz w:val="21"/>
                <w:szCs w:val="21"/>
              </w:rPr>
            </w:pPr>
          </w:p>
        </w:tc>
      </w:tr>
    </w:tbl>
    <w:p>
      <w:pPr>
        <w:tabs>
          <w:tab w:val="left" w:pos="7740"/>
        </w:tabs>
        <w:adjustRightInd w:val="0"/>
        <w:snapToGrid w:val="0"/>
        <w:rPr>
          <w:rFonts w:ascii="宋体" w:hAnsi="宋体" w:cs="宋体"/>
          <w:szCs w:val="21"/>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782"/>
        <w:gridCol w:w="22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vAlign w:val="center"/>
          </w:tcPr>
          <w:p>
            <w:pPr>
              <w:spacing w:line="360" w:lineRule="auto"/>
              <w:jc w:val="center"/>
              <w:rPr>
                <w:rFonts w:ascii="宋体"/>
                <w:b/>
                <w:szCs w:val="21"/>
              </w:rPr>
            </w:pPr>
            <w:r>
              <w:rPr>
                <w:rFonts w:hint="eastAsia" w:ascii="宋体"/>
                <w:b/>
                <w:szCs w:val="21"/>
              </w:rPr>
              <w:t>包组号</w:t>
            </w:r>
          </w:p>
        </w:tc>
        <w:tc>
          <w:tcPr>
            <w:tcW w:w="2788" w:type="dxa"/>
            <w:tcBorders>
              <w:bottom w:val="double" w:color="auto" w:sz="4" w:space="0"/>
            </w:tcBorders>
            <w:shd w:val="clear" w:color="auto" w:fill="EEECE1"/>
            <w:vAlign w:val="center"/>
          </w:tcPr>
          <w:p>
            <w:pPr>
              <w:spacing w:line="360" w:lineRule="auto"/>
              <w:jc w:val="center"/>
              <w:rPr>
                <w:rFonts w:ascii="宋体"/>
                <w:b/>
                <w:szCs w:val="21"/>
              </w:rPr>
            </w:pPr>
            <w:r>
              <w:rPr>
                <w:rFonts w:hint="eastAsia" w:ascii="宋体"/>
                <w:b/>
                <w:szCs w:val="21"/>
              </w:rPr>
              <w:t>采购内容</w:t>
            </w:r>
          </w:p>
        </w:tc>
        <w:tc>
          <w:tcPr>
            <w:tcW w:w="2782" w:type="dxa"/>
            <w:tcBorders>
              <w:bottom w:val="double" w:color="auto" w:sz="4" w:space="0"/>
            </w:tcBorders>
            <w:shd w:val="clear" w:color="auto" w:fill="EEECE1"/>
            <w:vAlign w:val="center"/>
          </w:tcPr>
          <w:p>
            <w:pPr>
              <w:jc w:val="center"/>
              <w:rPr>
                <w:rFonts w:ascii="宋体"/>
                <w:b/>
                <w:szCs w:val="21"/>
              </w:rPr>
            </w:pPr>
            <w:r>
              <w:rPr>
                <w:rFonts w:hint="eastAsia" w:ascii="宋体"/>
                <w:b/>
                <w:szCs w:val="21"/>
              </w:rPr>
              <w:t>竞价报价</w:t>
            </w:r>
          </w:p>
          <w:p>
            <w:pPr>
              <w:jc w:val="center"/>
              <w:rPr>
                <w:rFonts w:ascii="宋体"/>
                <w:b/>
                <w:szCs w:val="21"/>
              </w:rPr>
            </w:pPr>
            <w:r>
              <w:rPr>
                <w:rFonts w:hint="eastAsia" w:ascii="宋体"/>
                <w:b/>
                <w:szCs w:val="21"/>
              </w:rPr>
              <w:t>（人民币 元）</w:t>
            </w:r>
          </w:p>
        </w:tc>
        <w:tc>
          <w:tcPr>
            <w:tcW w:w="2289" w:type="dxa"/>
            <w:tcBorders>
              <w:bottom w:val="double" w:color="auto" w:sz="4" w:space="0"/>
            </w:tcBorders>
            <w:shd w:val="clear" w:color="auto" w:fill="EEECE1"/>
            <w:vAlign w:val="center"/>
          </w:tcPr>
          <w:p>
            <w:pPr>
              <w:jc w:val="center"/>
              <w:rPr>
                <w:rFonts w:ascii="宋体"/>
                <w:b/>
                <w:szCs w:val="21"/>
              </w:rPr>
            </w:pPr>
            <w:r>
              <w:rPr>
                <w:rFonts w:hint="eastAsia" w:ascii="宋体"/>
                <w:b/>
                <w:szCs w:val="21"/>
              </w:rPr>
              <w:t>服务期限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094" w:type="dxa"/>
            <w:tcBorders>
              <w:top w:val="single" w:color="auto" w:sz="4" w:space="0"/>
            </w:tcBorders>
            <w:vAlign w:val="center"/>
          </w:tcPr>
          <w:p>
            <w:pPr>
              <w:jc w:val="center"/>
              <w:rPr>
                <w:rFonts w:ascii="宋体"/>
                <w:bCs/>
                <w:szCs w:val="21"/>
              </w:rPr>
            </w:pPr>
            <w:r>
              <w:rPr>
                <w:rFonts w:hint="eastAsia"/>
                <w:szCs w:val="21"/>
              </w:rPr>
              <w:t>包组二</w:t>
            </w:r>
          </w:p>
        </w:tc>
        <w:tc>
          <w:tcPr>
            <w:tcW w:w="2788" w:type="dxa"/>
            <w:tcBorders>
              <w:top w:val="single" w:color="auto" w:sz="4" w:space="0"/>
            </w:tcBorders>
            <w:vAlign w:val="center"/>
          </w:tcPr>
          <w:p>
            <w:pPr>
              <w:jc w:val="center"/>
              <w:rPr>
                <w:rFonts w:ascii="宋体"/>
                <w:bCs/>
                <w:szCs w:val="21"/>
              </w:rPr>
            </w:pPr>
            <w:r>
              <w:rPr>
                <w:rFonts w:hint="eastAsia" w:ascii="宋体" w:hAnsi="宋体"/>
              </w:rPr>
              <w:t>采购实验室有毒有害废物处理商</w:t>
            </w:r>
          </w:p>
        </w:tc>
        <w:tc>
          <w:tcPr>
            <w:tcW w:w="2782" w:type="dxa"/>
            <w:tcBorders>
              <w:top w:val="single" w:color="auto" w:sz="4" w:space="0"/>
            </w:tcBorders>
            <w:vAlign w:val="center"/>
          </w:tcPr>
          <w:p>
            <w:pPr>
              <w:rPr>
                <w:rFonts w:ascii="宋体"/>
                <w:bCs/>
                <w:szCs w:val="21"/>
                <w:u w:val="single"/>
              </w:rPr>
            </w:pPr>
            <w:r>
              <w:rPr>
                <w:rFonts w:hint="eastAsia" w:ascii="宋体"/>
                <w:bCs/>
                <w:szCs w:val="21"/>
              </w:rPr>
              <w:t>小写：RMB</w:t>
            </w:r>
            <w:r>
              <w:rPr>
                <w:rFonts w:hint="eastAsia" w:ascii="宋体"/>
                <w:bCs/>
                <w:szCs w:val="21"/>
                <w:u w:val="single"/>
              </w:rPr>
              <w:t xml:space="preserve">                                 </w:t>
            </w:r>
          </w:p>
          <w:p>
            <w:pPr>
              <w:rPr>
                <w:rFonts w:ascii="宋体"/>
                <w:bCs/>
                <w:szCs w:val="21"/>
              </w:rPr>
            </w:pPr>
            <w:r>
              <w:rPr>
                <w:rFonts w:hint="eastAsia" w:ascii="宋体"/>
                <w:bCs/>
                <w:szCs w:val="21"/>
              </w:rPr>
              <w:t>大写：</w:t>
            </w:r>
            <w:r>
              <w:rPr>
                <w:rFonts w:hint="eastAsia" w:ascii="宋体"/>
                <w:bCs/>
                <w:szCs w:val="21"/>
                <w:u w:val="single"/>
              </w:rPr>
              <w:t xml:space="preserve">                                    </w:t>
            </w:r>
          </w:p>
        </w:tc>
        <w:tc>
          <w:tcPr>
            <w:tcW w:w="2289" w:type="dxa"/>
            <w:tcBorders>
              <w:top w:val="single" w:color="auto" w:sz="4" w:space="0"/>
            </w:tcBorders>
            <w:vAlign w:val="center"/>
          </w:tcPr>
          <w:p>
            <w:pPr>
              <w:pStyle w:val="46"/>
              <w:spacing w:line="240" w:lineRule="auto"/>
              <w:rPr>
                <w:rFonts w:ascii="宋体" w:hAnsi="宋体"/>
                <w:snapToGrid/>
                <w:spacing w:val="0"/>
                <w:kern w:val="2"/>
                <w:sz w:val="21"/>
                <w:szCs w:val="21"/>
              </w:rPr>
            </w:pPr>
            <w:r>
              <w:rPr>
                <w:rFonts w:hint="eastAsia" w:ascii="宋体" w:hAnsi="宋体"/>
                <w:snapToGrid/>
                <w:spacing w:val="0"/>
                <w:kern w:val="2"/>
                <w:sz w:val="21"/>
                <w:szCs w:val="21"/>
              </w:rPr>
              <w:t>自合同签订之日起二年</w:t>
            </w:r>
          </w:p>
        </w:tc>
      </w:tr>
    </w:tbl>
    <w:p>
      <w:pPr>
        <w:tabs>
          <w:tab w:val="left" w:pos="7740"/>
        </w:tabs>
        <w:adjustRightInd w:val="0"/>
        <w:snapToGrid w:val="0"/>
        <w:rPr>
          <w:rFonts w:ascii="宋体" w:hAnsi="宋体"/>
          <w:sz w:val="24"/>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768"/>
        <w:gridCol w:w="23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94" w:type="dxa"/>
            <w:tcBorders>
              <w:bottom w:val="double" w:color="auto" w:sz="4" w:space="0"/>
            </w:tcBorders>
            <w:shd w:val="clear" w:color="auto" w:fill="EEECE1"/>
            <w:vAlign w:val="center"/>
          </w:tcPr>
          <w:p>
            <w:pPr>
              <w:spacing w:line="360" w:lineRule="auto"/>
              <w:jc w:val="center"/>
              <w:rPr>
                <w:rFonts w:ascii="宋体"/>
                <w:b/>
                <w:szCs w:val="21"/>
              </w:rPr>
            </w:pPr>
            <w:r>
              <w:rPr>
                <w:rFonts w:hint="eastAsia" w:ascii="宋体"/>
                <w:b/>
                <w:szCs w:val="21"/>
              </w:rPr>
              <w:t>包组号</w:t>
            </w:r>
          </w:p>
        </w:tc>
        <w:tc>
          <w:tcPr>
            <w:tcW w:w="2788" w:type="dxa"/>
            <w:tcBorders>
              <w:bottom w:val="double" w:color="auto" w:sz="4" w:space="0"/>
            </w:tcBorders>
            <w:shd w:val="clear" w:color="auto" w:fill="EEECE1"/>
            <w:vAlign w:val="center"/>
          </w:tcPr>
          <w:p>
            <w:pPr>
              <w:spacing w:line="360" w:lineRule="auto"/>
              <w:jc w:val="center"/>
              <w:rPr>
                <w:rFonts w:ascii="宋体"/>
                <w:b/>
                <w:szCs w:val="21"/>
              </w:rPr>
            </w:pPr>
            <w:r>
              <w:rPr>
                <w:rFonts w:hint="eastAsia" w:ascii="宋体"/>
                <w:b/>
                <w:szCs w:val="21"/>
              </w:rPr>
              <w:t>采购内容</w:t>
            </w:r>
          </w:p>
        </w:tc>
        <w:tc>
          <w:tcPr>
            <w:tcW w:w="2768" w:type="dxa"/>
            <w:tcBorders>
              <w:bottom w:val="double" w:color="auto" w:sz="4" w:space="0"/>
            </w:tcBorders>
            <w:shd w:val="clear" w:color="auto" w:fill="EEECE1"/>
            <w:vAlign w:val="center"/>
          </w:tcPr>
          <w:p>
            <w:pPr>
              <w:jc w:val="center"/>
              <w:rPr>
                <w:rFonts w:ascii="宋体"/>
                <w:b/>
                <w:szCs w:val="21"/>
              </w:rPr>
            </w:pPr>
            <w:r>
              <w:rPr>
                <w:rFonts w:hint="eastAsia" w:ascii="宋体"/>
                <w:b/>
                <w:szCs w:val="21"/>
              </w:rPr>
              <w:t>竞价报价</w:t>
            </w:r>
          </w:p>
          <w:p>
            <w:pPr>
              <w:jc w:val="center"/>
              <w:rPr>
                <w:rFonts w:ascii="宋体"/>
                <w:b/>
                <w:szCs w:val="21"/>
              </w:rPr>
            </w:pPr>
            <w:r>
              <w:rPr>
                <w:rFonts w:hint="eastAsia" w:ascii="宋体"/>
                <w:b/>
                <w:szCs w:val="21"/>
              </w:rPr>
              <w:t>（人民币 元）</w:t>
            </w:r>
          </w:p>
        </w:tc>
        <w:tc>
          <w:tcPr>
            <w:tcW w:w="2303" w:type="dxa"/>
            <w:tcBorders>
              <w:bottom w:val="double" w:color="auto" w:sz="4" w:space="0"/>
            </w:tcBorders>
            <w:shd w:val="clear" w:color="auto" w:fill="EEECE1"/>
            <w:vAlign w:val="center"/>
          </w:tcPr>
          <w:p>
            <w:pPr>
              <w:jc w:val="center"/>
              <w:rPr>
                <w:rFonts w:ascii="宋体"/>
                <w:b/>
                <w:szCs w:val="21"/>
              </w:rPr>
            </w:pPr>
            <w:r>
              <w:rPr>
                <w:rFonts w:hint="eastAsia" w:ascii="宋体"/>
                <w:b/>
                <w:szCs w:val="21"/>
              </w:rPr>
              <w:t>供货期限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094" w:type="dxa"/>
            <w:tcBorders>
              <w:top w:val="double" w:color="auto" w:sz="4" w:space="0"/>
            </w:tcBorders>
            <w:vAlign w:val="center"/>
          </w:tcPr>
          <w:p>
            <w:pPr>
              <w:jc w:val="center"/>
              <w:rPr>
                <w:rFonts w:ascii="宋体"/>
                <w:bCs/>
                <w:color w:val="auto"/>
                <w:szCs w:val="21"/>
              </w:rPr>
            </w:pPr>
            <w:r>
              <w:rPr>
                <w:rFonts w:hint="eastAsia"/>
                <w:color w:val="auto"/>
                <w:szCs w:val="21"/>
              </w:rPr>
              <w:t>包组三</w:t>
            </w:r>
          </w:p>
        </w:tc>
        <w:tc>
          <w:tcPr>
            <w:tcW w:w="2788" w:type="dxa"/>
            <w:tcBorders>
              <w:top w:val="double" w:color="auto" w:sz="4" w:space="0"/>
            </w:tcBorders>
            <w:vAlign w:val="center"/>
          </w:tcPr>
          <w:p>
            <w:pPr>
              <w:jc w:val="center"/>
              <w:rPr>
                <w:rFonts w:ascii="宋体"/>
                <w:bCs/>
                <w:color w:val="auto"/>
                <w:szCs w:val="21"/>
              </w:rPr>
            </w:pPr>
            <w:r>
              <w:rPr>
                <w:rFonts w:hint="eastAsia" w:ascii="宋体" w:hAnsi="宋体"/>
                <w:color w:val="auto"/>
              </w:rPr>
              <w:t>采购实验室小型仪器</w:t>
            </w:r>
          </w:p>
        </w:tc>
        <w:tc>
          <w:tcPr>
            <w:tcW w:w="2768" w:type="dxa"/>
            <w:tcBorders>
              <w:top w:val="double" w:color="auto" w:sz="4" w:space="0"/>
            </w:tcBorders>
            <w:vAlign w:val="center"/>
          </w:tcPr>
          <w:p>
            <w:pPr>
              <w:rPr>
                <w:rFonts w:ascii="宋体"/>
                <w:bCs/>
                <w:color w:val="auto"/>
                <w:szCs w:val="21"/>
                <w:u w:val="single"/>
              </w:rPr>
            </w:pPr>
            <w:r>
              <w:rPr>
                <w:rFonts w:hint="eastAsia" w:ascii="宋体"/>
                <w:bCs/>
                <w:color w:val="auto"/>
                <w:szCs w:val="21"/>
              </w:rPr>
              <w:t>小写：RMB</w:t>
            </w:r>
            <w:r>
              <w:rPr>
                <w:rFonts w:hint="eastAsia" w:ascii="宋体"/>
                <w:bCs/>
                <w:color w:val="auto"/>
                <w:szCs w:val="21"/>
                <w:u w:val="single"/>
              </w:rPr>
              <w:t xml:space="preserve">                                 </w:t>
            </w:r>
          </w:p>
          <w:p>
            <w:pPr>
              <w:rPr>
                <w:rFonts w:ascii="宋体"/>
                <w:bCs/>
                <w:color w:val="auto"/>
                <w:szCs w:val="21"/>
                <w:u w:val="single"/>
              </w:rPr>
            </w:pPr>
            <w:r>
              <w:rPr>
                <w:rFonts w:hint="eastAsia" w:ascii="宋体"/>
                <w:bCs/>
                <w:color w:val="auto"/>
                <w:szCs w:val="21"/>
              </w:rPr>
              <w:t>大写：</w:t>
            </w:r>
            <w:r>
              <w:rPr>
                <w:rFonts w:hint="eastAsia" w:ascii="宋体"/>
                <w:bCs/>
                <w:color w:val="auto"/>
                <w:szCs w:val="21"/>
                <w:u w:val="single"/>
              </w:rPr>
              <w:t xml:space="preserve">                                    </w:t>
            </w:r>
          </w:p>
        </w:tc>
        <w:tc>
          <w:tcPr>
            <w:tcW w:w="2303" w:type="dxa"/>
            <w:tcBorders>
              <w:top w:val="double" w:color="auto" w:sz="4" w:space="0"/>
            </w:tcBorders>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接到招标人通知后10日内日内交货</w:t>
            </w:r>
          </w:p>
        </w:tc>
      </w:tr>
    </w:tbl>
    <w:p>
      <w:pPr>
        <w:pStyle w:val="30"/>
        <w:rPr>
          <w:color w:val="auto"/>
        </w:rPr>
      </w:pP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788"/>
        <w:gridCol w:w="2207"/>
        <w:gridCol w:w="2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094" w:type="dxa"/>
            <w:tcBorders>
              <w:bottom w:val="double" w:color="auto" w:sz="4" w:space="0"/>
            </w:tcBorders>
            <w:shd w:val="clear" w:color="auto" w:fill="EEECE1"/>
            <w:vAlign w:val="center"/>
          </w:tcPr>
          <w:p>
            <w:pPr>
              <w:spacing w:line="360" w:lineRule="auto"/>
              <w:jc w:val="center"/>
              <w:rPr>
                <w:rFonts w:ascii="宋体"/>
                <w:b/>
                <w:color w:val="auto"/>
                <w:szCs w:val="21"/>
              </w:rPr>
            </w:pPr>
            <w:r>
              <w:rPr>
                <w:rFonts w:hint="eastAsia" w:ascii="宋体"/>
                <w:b/>
                <w:color w:val="auto"/>
                <w:szCs w:val="21"/>
              </w:rPr>
              <w:t>包组号</w:t>
            </w:r>
          </w:p>
        </w:tc>
        <w:tc>
          <w:tcPr>
            <w:tcW w:w="2788" w:type="dxa"/>
            <w:tcBorders>
              <w:bottom w:val="double" w:color="auto" w:sz="4" w:space="0"/>
            </w:tcBorders>
            <w:shd w:val="clear" w:color="auto" w:fill="EEECE1"/>
            <w:vAlign w:val="center"/>
          </w:tcPr>
          <w:p>
            <w:pPr>
              <w:spacing w:line="360" w:lineRule="auto"/>
              <w:jc w:val="center"/>
              <w:rPr>
                <w:rFonts w:ascii="宋体"/>
                <w:b/>
                <w:color w:val="auto"/>
                <w:szCs w:val="21"/>
              </w:rPr>
            </w:pPr>
            <w:r>
              <w:rPr>
                <w:rFonts w:hint="eastAsia" w:ascii="宋体"/>
                <w:b/>
                <w:color w:val="auto"/>
                <w:szCs w:val="21"/>
              </w:rPr>
              <w:t>采购内容</w:t>
            </w:r>
          </w:p>
        </w:tc>
        <w:tc>
          <w:tcPr>
            <w:tcW w:w="2207" w:type="dxa"/>
            <w:tcBorders>
              <w:bottom w:val="double" w:color="auto" w:sz="4" w:space="0"/>
            </w:tcBorders>
            <w:shd w:val="clear" w:color="auto" w:fill="EEECE1"/>
            <w:vAlign w:val="center"/>
          </w:tcPr>
          <w:p>
            <w:pPr>
              <w:jc w:val="center"/>
              <w:rPr>
                <w:rFonts w:ascii="宋体"/>
                <w:b/>
                <w:color w:val="auto"/>
                <w:szCs w:val="21"/>
              </w:rPr>
            </w:pPr>
            <w:r>
              <w:rPr>
                <w:rFonts w:hint="eastAsia" w:ascii="宋体"/>
                <w:b/>
                <w:color w:val="auto"/>
                <w:szCs w:val="21"/>
              </w:rPr>
              <w:t>竞价下浮率（0%-100%）</w:t>
            </w:r>
          </w:p>
        </w:tc>
        <w:tc>
          <w:tcPr>
            <w:tcW w:w="2864" w:type="dxa"/>
            <w:tcBorders>
              <w:bottom w:val="double" w:color="auto" w:sz="4" w:space="0"/>
            </w:tcBorders>
            <w:shd w:val="clear" w:color="auto" w:fill="EEECE1"/>
            <w:vAlign w:val="center"/>
          </w:tcPr>
          <w:p>
            <w:pPr>
              <w:jc w:val="center"/>
              <w:rPr>
                <w:rFonts w:ascii="宋体"/>
                <w:b/>
                <w:color w:val="auto"/>
                <w:szCs w:val="21"/>
              </w:rPr>
            </w:pPr>
            <w:r>
              <w:rPr>
                <w:rFonts w:hint="eastAsia" w:ascii="宋体"/>
                <w:b/>
                <w:color w:val="auto"/>
                <w:szCs w:val="21"/>
              </w:rPr>
              <w:t>供货期限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68" w:hRule="atLeast"/>
        </w:trPr>
        <w:tc>
          <w:tcPr>
            <w:tcW w:w="1094" w:type="dxa"/>
            <w:tcBorders>
              <w:top w:val="double" w:color="auto" w:sz="4" w:space="0"/>
            </w:tcBorders>
            <w:vAlign w:val="center"/>
          </w:tcPr>
          <w:p>
            <w:pPr>
              <w:jc w:val="center"/>
              <w:rPr>
                <w:rFonts w:ascii="宋体"/>
                <w:bCs/>
                <w:color w:val="auto"/>
                <w:szCs w:val="21"/>
              </w:rPr>
            </w:pPr>
            <w:r>
              <w:rPr>
                <w:rFonts w:hint="eastAsia"/>
                <w:color w:val="auto"/>
                <w:szCs w:val="21"/>
              </w:rPr>
              <w:t>包组四</w:t>
            </w:r>
          </w:p>
        </w:tc>
        <w:tc>
          <w:tcPr>
            <w:tcW w:w="2788" w:type="dxa"/>
            <w:tcBorders>
              <w:top w:val="double" w:color="auto" w:sz="4" w:space="0"/>
            </w:tcBorders>
            <w:vAlign w:val="center"/>
          </w:tcPr>
          <w:p>
            <w:pPr>
              <w:jc w:val="center"/>
              <w:rPr>
                <w:rFonts w:ascii="宋体"/>
                <w:bCs/>
                <w:color w:val="auto"/>
                <w:szCs w:val="21"/>
              </w:rPr>
            </w:pPr>
            <w:r>
              <w:rPr>
                <w:rFonts w:hint="eastAsia" w:ascii="宋体" w:hAnsi="宋体"/>
                <w:color w:val="auto"/>
              </w:rPr>
              <w:t>实验室试剂和耗材</w:t>
            </w:r>
          </w:p>
        </w:tc>
        <w:tc>
          <w:tcPr>
            <w:tcW w:w="2207" w:type="dxa"/>
            <w:tcBorders>
              <w:top w:val="double" w:color="auto" w:sz="4" w:space="0"/>
            </w:tcBorders>
            <w:vAlign w:val="center"/>
          </w:tcPr>
          <w:p>
            <w:pPr>
              <w:jc w:val="center"/>
              <w:rPr>
                <w:rFonts w:ascii="宋体"/>
                <w:bCs/>
                <w:color w:val="auto"/>
                <w:szCs w:val="21"/>
                <w:u w:val="single"/>
              </w:rPr>
            </w:pPr>
          </w:p>
        </w:tc>
        <w:tc>
          <w:tcPr>
            <w:tcW w:w="2864" w:type="dxa"/>
            <w:tcBorders>
              <w:top w:val="double" w:color="auto" w:sz="4" w:space="0"/>
            </w:tcBorders>
            <w:vAlign w:val="center"/>
          </w:tcPr>
          <w:p>
            <w:pPr>
              <w:pStyle w:val="46"/>
              <w:spacing w:line="240" w:lineRule="auto"/>
              <w:rPr>
                <w:rFonts w:ascii="宋体" w:hAnsi="宋体"/>
                <w:snapToGrid/>
                <w:color w:val="auto"/>
                <w:spacing w:val="0"/>
                <w:kern w:val="2"/>
                <w:sz w:val="21"/>
                <w:szCs w:val="21"/>
              </w:rPr>
            </w:pPr>
            <w:r>
              <w:rPr>
                <w:rFonts w:hint="eastAsia" w:ascii="宋体" w:hAnsi="宋体"/>
                <w:snapToGrid/>
                <w:color w:val="auto"/>
                <w:spacing w:val="0"/>
                <w:kern w:val="2"/>
                <w:sz w:val="21"/>
                <w:szCs w:val="21"/>
              </w:rPr>
              <w:t>供货期限为自合同签订起至2023年12月31日，每次供货在接到招标人通知10日内完成供货</w:t>
            </w:r>
          </w:p>
        </w:tc>
      </w:tr>
    </w:tbl>
    <w:p>
      <w:pPr>
        <w:pStyle w:val="30"/>
      </w:pPr>
    </w:p>
    <w:p>
      <w:pPr>
        <w:spacing w:line="500" w:lineRule="exact"/>
        <w:ind w:firstLine="436" w:firstLineChars="200"/>
        <w:rPr>
          <w:rFonts w:ascii="宋体" w:hAnsi="宋体"/>
          <w:color w:val="000000"/>
          <w:u w:val="single"/>
        </w:rPr>
      </w:pPr>
      <w:r>
        <w:rPr>
          <w:rFonts w:hint="eastAsia"/>
          <w:spacing w:val="4"/>
        </w:rPr>
        <w:t>响应供应商名称（盖公章）：</w:t>
      </w:r>
      <w:r>
        <w:rPr>
          <w:rFonts w:hint="eastAsia"/>
          <w:spacing w:val="4"/>
          <w:u w:val="single"/>
        </w:rPr>
        <w:t xml:space="preserve">                             </w:t>
      </w:r>
    </w:p>
    <w:p>
      <w:pPr>
        <w:rPr>
          <w:spacing w:val="4"/>
        </w:rPr>
      </w:pPr>
    </w:p>
    <w:p>
      <w:pPr>
        <w:widowControl/>
        <w:ind w:firstLine="436" w:firstLineChars="200"/>
        <w:jc w:val="left"/>
        <w:rPr>
          <w:spacing w:val="4"/>
          <w:u w:val="single"/>
        </w:rPr>
      </w:pPr>
      <w:r>
        <w:rPr>
          <w:rFonts w:hint="eastAsia"/>
          <w:spacing w:val="4"/>
        </w:rPr>
        <w:t>日期：</w:t>
      </w:r>
      <w:r>
        <w:rPr>
          <w:spacing w:val="4"/>
          <w:u w:val="single"/>
        </w:rPr>
        <w:t xml:space="preserve">  </w:t>
      </w:r>
      <w:r>
        <w:rPr>
          <w:rFonts w:hint="eastAsia"/>
          <w:spacing w:val="4"/>
          <w:u w:val="single"/>
        </w:rPr>
        <w:t xml:space="preserve">               </w:t>
      </w:r>
    </w:p>
    <w:p>
      <w:pPr>
        <w:spacing w:line="500" w:lineRule="exact"/>
        <w:rPr>
          <w:rFonts w:ascii="宋体" w:hAnsi="宋体"/>
          <w:b/>
          <w:spacing w:val="4"/>
          <w:szCs w:val="21"/>
        </w:rPr>
      </w:pPr>
      <w:bookmarkStart w:id="36" w:name="_Toc275865611"/>
      <w:bookmarkStart w:id="37" w:name="_Toc192662843"/>
      <w:r>
        <w:rPr>
          <w:rFonts w:hint="eastAsia" w:ascii="宋体" w:hAnsi="宋体"/>
          <w:b/>
          <w:spacing w:val="4"/>
          <w:szCs w:val="21"/>
        </w:rPr>
        <w:t>注：</w:t>
      </w:r>
    </w:p>
    <w:p>
      <w:pPr>
        <w:widowControl/>
        <w:numPr>
          <w:ilvl w:val="0"/>
          <w:numId w:val="24"/>
        </w:numPr>
        <w:spacing w:line="340" w:lineRule="exact"/>
        <w:jc w:val="left"/>
        <w:rPr>
          <w:rFonts w:ascii="宋体" w:hAnsi="宋体" w:cs="宋体"/>
          <w:b/>
          <w:bCs/>
          <w:kern w:val="0"/>
          <w:szCs w:val="21"/>
          <w:u w:val="single"/>
        </w:rPr>
      </w:pPr>
      <w:r>
        <w:rPr>
          <w:rFonts w:hint="eastAsia" w:ascii="宋体" w:hAnsi="宋体" w:cs="宋体"/>
          <w:b/>
          <w:bCs/>
          <w:kern w:val="0"/>
          <w:szCs w:val="21"/>
          <w:u w:val="single"/>
        </w:rPr>
        <w:t>供应商必须按报价表的格式填写，不得增加或删除表格内容，不接受有选择性的报价</w:t>
      </w:r>
      <w:r>
        <w:rPr>
          <w:rFonts w:hint="eastAsia" w:ascii="宋体" w:hAnsi="宋体" w:cs="宋体"/>
          <w:b/>
          <w:bCs/>
          <w:kern w:val="0"/>
          <w:szCs w:val="21"/>
        </w:rPr>
        <w:t>；</w:t>
      </w:r>
    </w:p>
    <w:p>
      <w:pPr>
        <w:widowControl/>
        <w:numPr>
          <w:ilvl w:val="0"/>
          <w:numId w:val="24"/>
        </w:numPr>
        <w:spacing w:line="340" w:lineRule="exact"/>
        <w:jc w:val="left"/>
        <w:rPr>
          <w:rFonts w:ascii="宋体" w:hAnsi="宋体" w:cs="宋体"/>
          <w:b/>
          <w:kern w:val="0"/>
          <w:szCs w:val="21"/>
        </w:rPr>
      </w:pPr>
      <w:r>
        <w:rPr>
          <w:rFonts w:hint="eastAsia" w:ascii="宋体" w:hAnsi="宋体" w:cs="宋体"/>
          <w:b/>
          <w:kern w:val="0"/>
          <w:szCs w:val="21"/>
        </w:rPr>
        <w:t>下浮率报价不能大于100%，也没有为负数，且是固定唯一值的，否则为无效报价；所报的下浮率应当适用于该类别所有产品单品。</w:t>
      </w:r>
    </w:p>
    <w:p>
      <w:pPr>
        <w:widowControl/>
        <w:numPr>
          <w:ilvl w:val="0"/>
          <w:numId w:val="24"/>
        </w:numPr>
        <w:spacing w:line="340" w:lineRule="exact"/>
        <w:jc w:val="left"/>
        <w:rPr>
          <w:rFonts w:ascii="宋体" w:hAnsi="宋体" w:cs="宋体"/>
          <w:b/>
          <w:kern w:val="0"/>
          <w:szCs w:val="21"/>
        </w:rPr>
      </w:pPr>
      <w:r>
        <w:rPr>
          <w:rFonts w:hint="eastAsia" w:ascii="宋体" w:hAnsi="宋体" w:cs="宋体"/>
          <w:b/>
          <w:kern w:val="0"/>
          <w:szCs w:val="21"/>
        </w:rPr>
        <w:t>报价均应包含国家规定的税费。</w:t>
      </w:r>
    </w:p>
    <w:p>
      <w:pPr>
        <w:spacing w:line="440" w:lineRule="exact"/>
        <w:rPr>
          <w:rFonts w:ascii="宋体" w:hAnsi="宋体" w:cs="宋体"/>
          <w:b/>
          <w:sz w:val="32"/>
          <w:szCs w:val="32"/>
        </w:rPr>
      </w:pPr>
      <w:r>
        <w:rPr>
          <w:bCs/>
        </w:rPr>
        <w:br w:type="page"/>
      </w:r>
      <w:bookmarkEnd w:id="36"/>
      <w:bookmarkEnd w:id="37"/>
      <w:bookmarkStart w:id="38" w:name="_Toc229227176"/>
    </w:p>
    <w:bookmarkEnd w:id="38"/>
    <w:p>
      <w:pPr>
        <w:pStyle w:val="6"/>
        <w:tabs>
          <w:tab w:val="left" w:pos="709"/>
        </w:tabs>
        <w:snapToGrid w:val="0"/>
        <w:spacing w:before="124" w:beforeLines="40" w:after="312" w:afterLines="100"/>
        <w:ind w:firstLine="0" w:firstLineChars="0"/>
        <w:jc w:val="center"/>
        <w:rPr>
          <w:rFonts w:ascii="宋体" w:hAnsi="宋体" w:cs="宋体"/>
          <w:b/>
          <w:sz w:val="32"/>
          <w:szCs w:val="32"/>
        </w:rPr>
      </w:pPr>
      <w:r>
        <w:rPr>
          <w:rFonts w:hint="eastAsia" w:ascii="宋体" w:hAnsi="宋体" w:cs="宋体"/>
          <w:b/>
          <w:sz w:val="32"/>
          <w:szCs w:val="32"/>
        </w:rPr>
        <w:t>招标代理服务费承诺书</w:t>
      </w:r>
    </w:p>
    <w:p>
      <w:pPr>
        <w:spacing w:line="360" w:lineRule="auto"/>
        <w:ind w:left="315" w:right="279" w:rightChars="133"/>
        <w:rPr>
          <w:rFonts w:ascii="宋体" w:hAnsi="宋体" w:cs="宋体"/>
          <w:b/>
          <w:szCs w:val="21"/>
        </w:rPr>
      </w:pPr>
      <w:r>
        <w:rPr>
          <w:rFonts w:hint="eastAsia" w:ascii="宋体" w:hAnsi="宋体" w:cs="宋体"/>
          <w:b/>
          <w:szCs w:val="21"/>
        </w:rPr>
        <w:t>广东秤风采购招标有限公司:</w:t>
      </w:r>
    </w:p>
    <w:p>
      <w:pPr>
        <w:spacing w:line="360" w:lineRule="auto"/>
        <w:ind w:left="315" w:leftChars="150" w:right="279" w:rightChars="133" w:firstLine="420" w:firstLineChars="200"/>
        <w:rPr>
          <w:rFonts w:ascii="宋体" w:hAnsi="宋体" w:cs="宋体"/>
          <w:szCs w:val="21"/>
        </w:rPr>
      </w:pPr>
      <w:r>
        <w:rPr>
          <w:rFonts w:hint="eastAsia" w:ascii="宋体" w:hAnsi="宋体" w:cs="宋体"/>
          <w:szCs w:val="21"/>
        </w:rPr>
        <w:t>本公司</w:t>
      </w:r>
      <w:r>
        <w:rPr>
          <w:rFonts w:hint="eastAsia" w:ascii="宋体" w:hAnsi="宋体" w:cs="宋体"/>
          <w:szCs w:val="21"/>
          <w:u w:val="single"/>
        </w:rPr>
        <w:t xml:space="preserve">       (响应供应商名称)        </w:t>
      </w:r>
      <w:r>
        <w:rPr>
          <w:rFonts w:hint="eastAsia" w:ascii="宋体" w:hAnsi="宋体" w:cs="宋体"/>
          <w:szCs w:val="21"/>
        </w:rPr>
        <w:t>在参加在贵公司举行的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公开竞价采购(项目编号：GDCFCG-GDGZ-20230079)的招标中如获成交，我公司保证按照竞价文件规定缴纳“招标代理服务费”。</w:t>
      </w:r>
    </w:p>
    <w:p>
      <w:pPr>
        <w:spacing w:line="360" w:lineRule="auto"/>
        <w:ind w:left="315" w:leftChars="150" w:right="279" w:rightChars="133" w:firstLine="420" w:firstLineChars="200"/>
        <w:rPr>
          <w:rFonts w:ascii="宋体" w:hAnsi="宋体" w:cs="宋体"/>
          <w:szCs w:val="21"/>
        </w:rPr>
      </w:pPr>
      <w:r>
        <w:rPr>
          <w:rFonts w:hint="eastAsia" w:ascii="宋体" w:hAnsi="宋体" w:cs="宋体"/>
          <w:szCs w:val="21"/>
        </w:rPr>
        <w:t>如我方违反上款承诺，愿承担全部由此引起的法律责任。</w:t>
      </w:r>
    </w:p>
    <w:p>
      <w:pPr>
        <w:spacing w:line="360" w:lineRule="auto"/>
        <w:ind w:left="315" w:leftChars="150" w:right="279" w:rightChars="133" w:firstLine="420" w:firstLineChars="200"/>
        <w:rPr>
          <w:rFonts w:ascii="宋体" w:hAnsi="宋体" w:cs="宋体"/>
          <w:szCs w:val="21"/>
        </w:rPr>
      </w:pPr>
      <w:r>
        <w:rPr>
          <w:rFonts w:hint="eastAsia" w:ascii="宋体" w:hAnsi="宋体" w:cs="宋体"/>
          <w:szCs w:val="21"/>
        </w:rPr>
        <w:t>特此承诺!</w:t>
      </w:r>
    </w:p>
    <w:p>
      <w:pPr>
        <w:spacing w:line="520" w:lineRule="exact"/>
        <w:ind w:left="315"/>
        <w:rPr>
          <w:rFonts w:ascii="宋体" w:hAnsi="宋体" w:cs="宋体"/>
          <w:szCs w:val="21"/>
        </w:rPr>
      </w:pPr>
    </w:p>
    <w:p>
      <w:pPr>
        <w:spacing w:line="500" w:lineRule="exact"/>
        <w:ind w:firstLine="436" w:firstLineChars="200"/>
        <w:rPr>
          <w:rFonts w:ascii="宋体" w:hAnsi="宋体"/>
          <w:color w:val="000000"/>
          <w:u w:val="single"/>
        </w:rPr>
      </w:pPr>
      <w:r>
        <w:rPr>
          <w:rFonts w:hint="eastAsia"/>
          <w:spacing w:val="4"/>
        </w:rPr>
        <w:t>响应供应商名称（盖公章）：</w:t>
      </w:r>
      <w:r>
        <w:rPr>
          <w:rFonts w:hint="eastAsia"/>
          <w:spacing w:val="4"/>
          <w:u w:val="single"/>
        </w:rPr>
        <w:t xml:space="preserve">                             </w:t>
      </w:r>
    </w:p>
    <w:p>
      <w:pPr>
        <w:rPr>
          <w:spacing w:val="4"/>
        </w:rPr>
      </w:pPr>
    </w:p>
    <w:p>
      <w:pPr>
        <w:widowControl/>
        <w:ind w:firstLine="436" w:firstLineChars="200"/>
        <w:jc w:val="left"/>
        <w:rPr>
          <w:spacing w:val="4"/>
          <w:u w:val="single"/>
        </w:rPr>
      </w:pPr>
      <w:r>
        <w:rPr>
          <w:rFonts w:hint="eastAsia"/>
          <w:spacing w:val="4"/>
        </w:rPr>
        <w:t>日期：</w:t>
      </w:r>
      <w:r>
        <w:rPr>
          <w:spacing w:val="4"/>
          <w:u w:val="single"/>
        </w:rPr>
        <w:t xml:space="preserve">  </w:t>
      </w:r>
      <w:r>
        <w:rPr>
          <w:rFonts w:hint="eastAsia"/>
          <w:spacing w:val="4"/>
          <w:u w:val="single"/>
        </w:rPr>
        <w:t xml:space="preserve">               </w:t>
      </w:r>
    </w:p>
    <w:p>
      <w:pPr>
        <w:pStyle w:val="11"/>
        <w:spacing w:line="360" w:lineRule="auto"/>
        <w:rPr>
          <w:rFonts w:hAnsi="宋体" w:cs="宋体"/>
          <w:sz w:val="21"/>
          <w:szCs w:val="21"/>
        </w:rPr>
      </w:pPr>
    </w:p>
    <w:sectPr>
      <w:headerReference r:id="rId3" w:type="default"/>
      <w:footerReference r:id="rId4" w:type="default"/>
      <w:pgSz w:w="11906" w:h="16838"/>
      <w:pgMar w:top="1440" w:right="1274"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420"/>
    </w:pPr>
    <w:r>
      <w:rPr>
        <w:rFonts w:ascii="宋体" w:hAnsi="宋体"/>
        <w:sz w:val="21"/>
        <w:szCs w:val="21"/>
      </w:rPr>
      <w:fldChar w:fldCharType="begin"/>
    </w:r>
    <w:r>
      <w:rPr>
        <w:rFonts w:ascii="宋体" w:hAnsi="宋体"/>
        <w:sz w:val="21"/>
        <w:szCs w:val="21"/>
      </w:rPr>
      <w:instrText xml:space="preserve"> PAGE  \* ArabicDash  \* MERGEFORMAT </w:instrText>
    </w:r>
    <w:r>
      <w:rPr>
        <w:rFonts w:ascii="宋体" w:hAnsi="宋体"/>
        <w:sz w:val="21"/>
        <w:szCs w:val="21"/>
      </w:rPr>
      <w:fldChar w:fldCharType="separate"/>
    </w:r>
    <w:r>
      <w:rPr>
        <w:rFonts w:ascii="宋体" w:hAnsi="宋体"/>
        <w:sz w:val="21"/>
        <w:szCs w:val="21"/>
      </w:rPr>
      <w:t>- 25 -</w:t>
    </w:r>
    <w:r>
      <w:rPr>
        <w:rFonts w:ascii="宋体" w:hAnsi="宋体"/>
        <w:sz w:val="21"/>
        <w:szCs w:val="21"/>
      </w:rPr>
      <w:fldChar w:fldCharType="end"/>
    </w:r>
    <w:r>
      <w:rPr>
        <w:rFonts w:hint="eastAsia"/>
      </w:rPr>
      <w:t xml:space="preserve">                 </w:t>
    </w:r>
    <w:r>
      <w:rPr>
        <w:rFonts w:hint="eastAsia" w:ascii="宋体" w:hAnsi="宋体"/>
        <w:sz w:val="21"/>
        <w:szCs w:val="21"/>
      </w:rPr>
      <w:t>广东秤风采购招标有限公司编制</w:t>
    </w:r>
  </w:p>
  <w:p>
    <w:pPr>
      <w:pStyle w:val="14"/>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sz w:val="21"/>
        <w:szCs w:val="21"/>
        <w:shd w:val="clear" w:color="auto" w:fill="E0E0E0"/>
      </w:rPr>
      <w:t>广州市花都区农业技术管理中心（广州市花都区农产品质量安全监督检测中心）危险化学品使用储存场所安全现状评价和安全技术服务、职业病危害因素检测采购、实验室有毒有害废物处理服务、实验室小型仪器、实验室试剂和耗材采购项目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E390D"/>
    <w:multiLevelType w:val="multilevel"/>
    <w:tmpl w:val="83BE390D"/>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878EA087"/>
    <w:multiLevelType w:val="multilevel"/>
    <w:tmpl w:val="878EA08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9AF672FF"/>
    <w:multiLevelType w:val="multilevel"/>
    <w:tmpl w:val="9AF672F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AA9595DB"/>
    <w:multiLevelType w:val="multilevel"/>
    <w:tmpl w:val="AA9595D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C575D7CF"/>
    <w:multiLevelType w:val="multilevel"/>
    <w:tmpl w:val="C575D7CF"/>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CAB78FD1"/>
    <w:multiLevelType w:val="multilevel"/>
    <w:tmpl w:val="CAB78FD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EC2F2D85"/>
    <w:multiLevelType w:val="singleLevel"/>
    <w:tmpl w:val="EC2F2D85"/>
    <w:lvl w:ilvl="0" w:tentative="0">
      <w:start w:val="1"/>
      <w:numFmt w:val="decimal"/>
      <w:lvlText w:val="%1."/>
      <w:lvlJc w:val="left"/>
      <w:pPr>
        <w:ind w:left="425" w:hanging="425"/>
      </w:pPr>
      <w:rPr>
        <w:rFonts w:hint="default" w:ascii="宋体" w:hAnsi="宋体" w:eastAsia="宋体" w:cs="宋体"/>
        <w:sz w:val="21"/>
        <w:szCs w:val="21"/>
      </w:rPr>
    </w:lvl>
  </w:abstractNum>
  <w:abstractNum w:abstractNumId="7">
    <w:nsid w:val="015F5718"/>
    <w:multiLevelType w:val="multilevel"/>
    <w:tmpl w:val="015F571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8">
    <w:nsid w:val="05996981"/>
    <w:multiLevelType w:val="multilevel"/>
    <w:tmpl w:val="05996981"/>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67C4D5B"/>
    <w:multiLevelType w:val="multilevel"/>
    <w:tmpl w:val="067C4D5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7445E29"/>
    <w:multiLevelType w:val="multilevel"/>
    <w:tmpl w:val="07445E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172A761E"/>
    <w:multiLevelType w:val="multilevel"/>
    <w:tmpl w:val="172A761E"/>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3">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5">
    <w:nsid w:val="4EBA76EC"/>
    <w:multiLevelType w:val="multilevel"/>
    <w:tmpl w:val="4EBA76EC"/>
    <w:lvl w:ilvl="0" w:tentative="0">
      <w:start w:val="1"/>
      <w:numFmt w:val="chineseCountingThousand"/>
      <w:lvlText w:val="%1、"/>
      <w:lvlJc w:val="left"/>
      <w:pPr>
        <w:ind w:left="420" w:hanging="420"/>
      </w:pPr>
      <w:rPr>
        <w:rFonts w:hint="eastAsia" w:ascii="宋体" w:hAnsi="宋体" w:eastAsia="宋体" w:cs="宋体"/>
        <w:b/>
        <w:bCs/>
        <w:color w:val="auto"/>
        <w:lang w:val="en-US"/>
      </w:rPr>
    </w:lvl>
    <w:lvl w:ilvl="1" w:tentative="0">
      <w:start w:val="1"/>
      <w:numFmt w:val="decimal"/>
      <w:lvlText w:val="（%2）"/>
      <w:lvlJc w:val="left"/>
      <w:pPr>
        <w:ind w:left="1140" w:hanging="720"/>
      </w:pPr>
      <w:rPr>
        <w:rFonts w:hint="default" w:ascii="宋体" w:hAnsi="宋体" w:cs="Times New Roman"/>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411D8B6"/>
    <w:multiLevelType w:val="multilevel"/>
    <w:tmpl w:val="5411D8B6"/>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54DB1279"/>
    <w:multiLevelType w:val="multilevel"/>
    <w:tmpl w:val="54DB1279"/>
    <w:lvl w:ilvl="0" w:tentative="0">
      <w:start w:val="1"/>
      <w:numFmt w:val="decimal"/>
      <w:suff w:val="nothing"/>
      <w:lvlText w:val="3.%1 "/>
      <w:lvlJc w:val="left"/>
      <w:pPr>
        <w:tabs>
          <w:tab w:val="left" w:pos="0"/>
        </w:tabs>
        <w:ind w:left="0" w:firstLine="0"/>
      </w:pPr>
      <w:rPr>
        <w:rFonts w:hint="eastAsia" w:ascii="宋体" w:hAnsi="宋体" w:eastAsia="宋体" w:cs="宋体"/>
      </w:rPr>
    </w:lvl>
    <w:lvl w:ilvl="1" w:tentative="0">
      <w:start w:val="1"/>
      <w:numFmt w:val="chineseCounting"/>
      <w:pStyle w:val="4"/>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8">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sz w:val="21"/>
        <w:szCs w:val="21"/>
      </w:rPr>
    </w:lvl>
    <w:lvl w:ilvl="2" w:tentative="0">
      <w:start w:val="1"/>
      <w:numFmt w:val="decimal"/>
      <w:lvlText w:val="%1.%2.%3."/>
      <w:lvlJc w:val="left"/>
      <w:pPr>
        <w:tabs>
          <w:tab w:val="left" w:pos="709"/>
        </w:tabs>
        <w:ind w:left="709" w:hanging="709"/>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b w:val="0"/>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59EF4C36"/>
    <w:multiLevelType w:val="singleLevel"/>
    <w:tmpl w:val="59EF4C36"/>
    <w:lvl w:ilvl="0" w:tentative="0">
      <w:start w:val="1"/>
      <w:numFmt w:val="decimal"/>
      <w:lvlText w:val="%1."/>
      <w:lvlJc w:val="left"/>
      <w:pPr>
        <w:tabs>
          <w:tab w:val="left" w:pos="312"/>
        </w:tabs>
      </w:pPr>
    </w:lvl>
  </w:abstractNum>
  <w:abstractNum w:abstractNumId="20">
    <w:nsid w:val="5AF1566E"/>
    <w:multiLevelType w:val="singleLevel"/>
    <w:tmpl w:val="5AF1566E"/>
    <w:lvl w:ilvl="0" w:tentative="0">
      <w:start w:val="1"/>
      <w:numFmt w:val="decimal"/>
      <w:lvlText w:val="%1."/>
      <w:lvlJc w:val="left"/>
      <w:pPr>
        <w:ind w:left="425" w:hanging="425"/>
      </w:pPr>
      <w:rPr>
        <w:rFonts w:hint="default" w:ascii="宋体" w:hAnsi="宋体" w:eastAsia="宋体" w:cs="宋体"/>
        <w:sz w:val="21"/>
        <w:szCs w:val="21"/>
      </w:rPr>
    </w:lvl>
  </w:abstractNum>
  <w:abstractNum w:abstractNumId="21">
    <w:nsid w:val="63711F44"/>
    <w:multiLevelType w:val="multilevel"/>
    <w:tmpl w:val="63711F4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6201A77"/>
    <w:multiLevelType w:val="multilevel"/>
    <w:tmpl w:val="66201A7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21"/>
  </w:num>
  <w:num w:numId="3">
    <w:abstractNumId w:val="15"/>
  </w:num>
  <w:num w:numId="4">
    <w:abstractNumId w:val="7"/>
  </w:num>
  <w:num w:numId="5">
    <w:abstractNumId w:val="10"/>
  </w:num>
  <w:num w:numId="6">
    <w:abstractNumId w:val="18"/>
  </w:num>
  <w:num w:numId="7">
    <w:abstractNumId w:val="4"/>
  </w:num>
  <w:num w:numId="8">
    <w:abstractNumId w:val="8"/>
  </w:num>
  <w:num w:numId="9">
    <w:abstractNumId w:val="11"/>
  </w:num>
  <w:num w:numId="10">
    <w:abstractNumId w:val="6"/>
  </w:num>
  <w:num w:numId="11">
    <w:abstractNumId w:val="20"/>
  </w:num>
  <w:num w:numId="12">
    <w:abstractNumId w:val="1"/>
  </w:num>
  <w:num w:numId="13">
    <w:abstractNumId w:val="19"/>
  </w:num>
  <w:num w:numId="14">
    <w:abstractNumId w:val="5"/>
  </w:num>
  <w:num w:numId="15">
    <w:abstractNumId w:val="22"/>
  </w:num>
  <w:num w:numId="16">
    <w:abstractNumId w:val="0"/>
  </w:num>
  <w:num w:numId="17">
    <w:abstractNumId w:val="3"/>
  </w:num>
  <w:num w:numId="18">
    <w:abstractNumId w:val="9"/>
  </w:num>
  <w:num w:numId="19">
    <w:abstractNumId w:val="2"/>
  </w:num>
  <w:num w:numId="20">
    <w:abstractNumId w:val="16"/>
  </w:num>
  <w:num w:numId="21">
    <w:abstractNumId w:val="13"/>
  </w:num>
  <w:num w:numId="22">
    <w:abstractNumId w:val="14"/>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ZTExMzQ0YjgzNTg1ZmU2MWFlZjUwNjNmMzJkYmMifQ=="/>
  </w:docVars>
  <w:rsids>
    <w:rsidRoot w:val="00F73C92"/>
    <w:rsid w:val="00005BBF"/>
    <w:rsid w:val="00006912"/>
    <w:rsid w:val="000328FD"/>
    <w:rsid w:val="00052AC5"/>
    <w:rsid w:val="0005645F"/>
    <w:rsid w:val="00075736"/>
    <w:rsid w:val="000777AC"/>
    <w:rsid w:val="00093EFA"/>
    <w:rsid w:val="000A2565"/>
    <w:rsid w:val="000B518D"/>
    <w:rsid w:val="000E7AE2"/>
    <w:rsid w:val="00102D42"/>
    <w:rsid w:val="00130230"/>
    <w:rsid w:val="00132764"/>
    <w:rsid w:val="001523D5"/>
    <w:rsid w:val="001668D4"/>
    <w:rsid w:val="00166F10"/>
    <w:rsid w:val="00170DD2"/>
    <w:rsid w:val="001758B9"/>
    <w:rsid w:val="00195BAC"/>
    <w:rsid w:val="001B4182"/>
    <w:rsid w:val="001B673A"/>
    <w:rsid w:val="001C2DB1"/>
    <w:rsid w:val="00204EAC"/>
    <w:rsid w:val="002329DC"/>
    <w:rsid w:val="00271F7B"/>
    <w:rsid w:val="00277324"/>
    <w:rsid w:val="00281192"/>
    <w:rsid w:val="00287152"/>
    <w:rsid w:val="00290C5B"/>
    <w:rsid w:val="002A7FF0"/>
    <w:rsid w:val="002B40F8"/>
    <w:rsid w:val="002D7602"/>
    <w:rsid w:val="002E0F56"/>
    <w:rsid w:val="002E50FF"/>
    <w:rsid w:val="003072B6"/>
    <w:rsid w:val="00313F10"/>
    <w:rsid w:val="00326399"/>
    <w:rsid w:val="003413C5"/>
    <w:rsid w:val="00344180"/>
    <w:rsid w:val="00377439"/>
    <w:rsid w:val="00377B5A"/>
    <w:rsid w:val="00377D61"/>
    <w:rsid w:val="003B55D2"/>
    <w:rsid w:val="003B600B"/>
    <w:rsid w:val="003C10A0"/>
    <w:rsid w:val="003E2A0E"/>
    <w:rsid w:val="003F115C"/>
    <w:rsid w:val="003F2F74"/>
    <w:rsid w:val="00406CFA"/>
    <w:rsid w:val="00424D6E"/>
    <w:rsid w:val="0043044E"/>
    <w:rsid w:val="00432E85"/>
    <w:rsid w:val="00442379"/>
    <w:rsid w:val="00450CE6"/>
    <w:rsid w:val="00453B64"/>
    <w:rsid w:val="00475CEF"/>
    <w:rsid w:val="00491B29"/>
    <w:rsid w:val="00493BF3"/>
    <w:rsid w:val="004B5C4B"/>
    <w:rsid w:val="004C52F7"/>
    <w:rsid w:val="004C6272"/>
    <w:rsid w:val="004D24AD"/>
    <w:rsid w:val="00500BE7"/>
    <w:rsid w:val="0050260F"/>
    <w:rsid w:val="00545FC5"/>
    <w:rsid w:val="00553CF5"/>
    <w:rsid w:val="005739D8"/>
    <w:rsid w:val="00590538"/>
    <w:rsid w:val="00595B2C"/>
    <w:rsid w:val="005B4B3D"/>
    <w:rsid w:val="005D513A"/>
    <w:rsid w:val="005D6489"/>
    <w:rsid w:val="005F668F"/>
    <w:rsid w:val="00657E1D"/>
    <w:rsid w:val="0066173A"/>
    <w:rsid w:val="0067525C"/>
    <w:rsid w:val="006766F6"/>
    <w:rsid w:val="00677D03"/>
    <w:rsid w:val="0068086A"/>
    <w:rsid w:val="0068635A"/>
    <w:rsid w:val="006901DA"/>
    <w:rsid w:val="006B4AE0"/>
    <w:rsid w:val="006C4D5F"/>
    <w:rsid w:val="006C5A64"/>
    <w:rsid w:val="006F57ED"/>
    <w:rsid w:val="00705B72"/>
    <w:rsid w:val="00715536"/>
    <w:rsid w:val="007204C7"/>
    <w:rsid w:val="007225CC"/>
    <w:rsid w:val="00752808"/>
    <w:rsid w:val="0078077D"/>
    <w:rsid w:val="00797622"/>
    <w:rsid w:val="007A3FF5"/>
    <w:rsid w:val="007A69CA"/>
    <w:rsid w:val="007B5C16"/>
    <w:rsid w:val="007D4C4A"/>
    <w:rsid w:val="007E7781"/>
    <w:rsid w:val="007F5685"/>
    <w:rsid w:val="008018AA"/>
    <w:rsid w:val="00805886"/>
    <w:rsid w:val="008215B7"/>
    <w:rsid w:val="00831DF2"/>
    <w:rsid w:val="00856DAA"/>
    <w:rsid w:val="00867C7D"/>
    <w:rsid w:val="00875A3F"/>
    <w:rsid w:val="008846C8"/>
    <w:rsid w:val="008B3CD7"/>
    <w:rsid w:val="008C49BA"/>
    <w:rsid w:val="008D752A"/>
    <w:rsid w:val="00907436"/>
    <w:rsid w:val="009158C1"/>
    <w:rsid w:val="0092603E"/>
    <w:rsid w:val="00964905"/>
    <w:rsid w:val="00965F59"/>
    <w:rsid w:val="009675FB"/>
    <w:rsid w:val="0097048B"/>
    <w:rsid w:val="009820D0"/>
    <w:rsid w:val="009828F4"/>
    <w:rsid w:val="009867D1"/>
    <w:rsid w:val="00986AAC"/>
    <w:rsid w:val="009926AA"/>
    <w:rsid w:val="009A0990"/>
    <w:rsid w:val="009A2ABD"/>
    <w:rsid w:val="009A47C4"/>
    <w:rsid w:val="009D71D0"/>
    <w:rsid w:val="00A14D36"/>
    <w:rsid w:val="00A156AC"/>
    <w:rsid w:val="00A2195B"/>
    <w:rsid w:val="00A555DC"/>
    <w:rsid w:val="00A57CB6"/>
    <w:rsid w:val="00A632EE"/>
    <w:rsid w:val="00A65502"/>
    <w:rsid w:val="00A7206A"/>
    <w:rsid w:val="00A76AE0"/>
    <w:rsid w:val="00A7792D"/>
    <w:rsid w:val="00AA07B5"/>
    <w:rsid w:val="00AB278C"/>
    <w:rsid w:val="00AD0DEE"/>
    <w:rsid w:val="00AD3BC8"/>
    <w:rsid w:val="00AD5D84"/>
    <w:rsid w:val="00AF7954"/>
    <w:rsid w:val="00B174D4"/>
    <w:rsid w:val="00B235DB"/>
    <w:rsid w:val="00B405B1"/>
    <w:rsid w:val="00B41C37"/>
    <w:rsid w:val="00B43481"/>
    <w:rsid w:val="00B47DC0"/>
    <w:rsid w:val="00B66820"/>
    <w:rsid w:val="00B75E4C"/>
    <w:rsid w:val="00B852ED"/>
    <w:rsid w:val="00B953B8"/>
    <w:rsid w:val="00B95EC2"/>
    <w:rsid w:val="00BB0BFD"/>
    <w:rsid w:val="00BB39F7"/>
    <w:rsid w:val="00BB3BEE"/>
    <w:rsid w:val="00BB4754"/>
    <w:rsid w:val="00BD4F16"/>
    <w:rsid w:val="00BF49B5"/>
    <w:rsid w:val="00C10027"/>
    <w:rsid w:val="00C12607"/>
    <w:rsid w:val="00C2631D"/>
    <w:rsid w:val="00C565EC"/>
    <w:rsid w:val="00C76CCA"/>
    <w:rsid w:val="00C772E1"/>
    <w:rsid w:val="00CA06C5"/>
    <w:rsid w:val="00CB7553"/>
    <w:rsid w:val="00CE10C4"/>
    <w:rsid w:val="00CE17EB"/>
    <w:rsid w:val="00CF04E5"/>
    <w:rsid w:val="00CF77BA"/>
    <w:rsid w:val="00D141E5"/>
    <w:rsid w:val="00D15DAB"/>
    <w:rsid w:val="00D404E7"/>
    <w:rsid w:val="00D50795"/>
    <w:rsid w:val="00D6044F"/>
    <w:rsid w:val="00D96627"/>
    <w:rsid w:val="00DB0F51"/>
    <w:rsid w:val="00DB4A04"/>
    <w:rsid w:val="00DB6E0F"/>
    <w:rsid w:val="00DD3568"/>
    <w:rsid w:val="00E11329"/>
    <w:rsid w:val="00E214C3"/>
    <w:rsid w:val="00E21A91"/>
    <w:rsid w:val="00E269BD"/>
    <w:rsid w:val="00E563C3"/>
    <w:rsid w:val="00E8774C"/>
    <w:rsid w:val="00E910FA"/>
    <w:rsid w:val="00EC0047"/>
    <w:rsid w:val="00F145F8"/>
    <w:rsid w:val="00F21E26"/>
    <w:rsid w:val="00F419A6"/>
    <w:rsid w:val="00F425BD"/>
    <w:rsid w:val="00F73C92"/>
    <w:rsid w:val="00F83372"/>
    <w:rsid w:val="00FA307D"/>
    <w:rsid w:val="00FA5752"/>
    <w:rsid w:val="00FD39F5"/>
    <w:rsid w:val="00FF6704"/>
    <w:rsid w:val="01114787"/>
    <w:rsid w:val="033A3AA0"/>
    <w:rsid w:val="05085485"/>
    <w:rsid w:val="05EE21A6"/>
    <w:rsid w:val="0AF01D4E"/>
    <w:rsid w:val="0F3F27F8"/>
    <w:rsid w:val="0FB029A1"/>
    <w:rsid w:val="10C92039"/>
    <w:rsid w:val="1125116C"/>
    <w:rsid w:val="11C93240"/>
    <w:rsid w:val="127777A6"/>
    <w:rsid w:val="1395557E"/>
    <w:rsid w:val="13FD1F2D"/>
    <w:rsid w:val="14070156"/>
    <w:rsid w:val="145B4DEA"/>
    <w:rsid w:val="153D2B3C"/>
    <w:rsid w:val="16A02AF2"/>
    <w:rsid w:val="17F80030"/>
    <w:rsid w:val="18D636AC"/>
    <w:rsid w:val="1903603C"/>
    <w:rsid w:val="1AFF47DC"/>
    <w:rsid w:val="1B6C2D6A"/>
    <w:rsid w:val="1BB90E2F"/>
    <w:rsid w:val="1F024241"/>
    <w:rsid w:val="20727F6E"/>
    <w:rsid w:val="2661634B"/>
    <w:rsid w:val="272F6449"/>
    <w:rsid w:val="27AC3146"/>
    <w:rsid w:val="29E928DF"/>
    <w:rsid w:val="2B8E1711"/>
    <w:rsid w:val="2C876181"/>
    <w:rsid w:val="2D124DBC"/>
    <w:rsid w:val="2DEA1DC0"/>
    <w:rsid w:val="2E0A2F9D"/>
    <w:rsid w:val="2E34070A"/>
    <w:rsid w:val="32B90FD9"/>
    <w:rsid w:val="333948D8"/>
    <w:rsid w:val="338B2766"/>
    <w:rsid w:val="344B56BC"/>
    <w:rsid w:val="37087B6D"/>
    <w:rsid w:val="37AC3523"/>
    <w:rsid w:val="3821204D"/>
    <w:rsid w:val="3997067D"/>
    <w:rsid w:val="3CA37266"/>
    <w:rsid w:val="3F4F5327"/>
    <w:rsid w:val="43D2655C"/>
    <w:rsid w:val="44021AD6"/>
    <w:rsid w:val="45A653C6"/>
    <w:rsid w:val="47665DB6"/>
    <w:rsid w:val="48CE0D2A"/>
    <w:rsid w:val="48E92086"/>
    <w:rsid w:val="4AA0437E"/>
    <w:rsid w:val="4AB663B6"/>
    <w:rsid w:val="4ABF0139"/>
    <w:rsid w:val="4BF947AC"/>
    <w:rsid w:val="4EDD6886"/>
    <w:rsid w:val="51983176"/>
    <w:rsid w:val="5253273C"/>
    <w:rsid w:val="54313DF3"/>
    <w:rsid w:val="578E1F17"/>
    <w:rsid w:val="5D37598E"/>
    <w:rsid w:val="5D762255"/>
    <w:rsid w:val="5D7E335A"/>
    <w:rsid w:val="5DAD7A63"/>
    <w:rsid w:val="5FBD1AFF"/>
    <w:rsid w:val="62AC760D"/>
    <w:rsid w:val="649E1F3D"/>
    <w:rsid w:val="64A70DF2"/>
    <w:rsid w:val="65464D93"/>
    <w:rsid w:val="654B3A6E"/>
    <w:rsid w:val="65CB2D73"/>
    <w:rsid w:val="66F8599C"/>
    <w:rsid w:val="6714680B"/>
    <w:rsid w:val="68456F3D"/>
    <w:rsid w:val="693E32A0"/>
    <w:rsid w:val="696D3A32"/>
    <w:rsid w:val="6A114F5F"/>
    <w:rsid w:val="6AEE03FE"/>
    <w:rsid w:val="6B2807B2"/>
    <w:rsid w:val="6B794984"/>
    <w:rsid w:val="6D651CE6"/>
    <w:rsid w:val="6DA560EA"/>
    <w:rsid w:val="6F3C5826"/>
    <w:rsid w:val="6FE07C8E"/>
    <w:rsid w:val="705B6F34"/>
    <w:rsid w:val="73802021"/>
    <w:rsid w:val="754D7793"/>
    <w:rsid w:val="7557576D"/>
    <w:rsid w:val="762B3B5C"/>
    <w:rsid w:val="78614319"/>
    <w:rsid w:val="7B831CEF"/>
    <w:rsid w:val="7C911BB8"/>
    <w:rsid w:val="7EC3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0"/>
    <w:pPr>
      <w:keepNext/>
      <w:keepLines/>
      <w:widowControl/>
      <w:numPr>
        <w:ilvl w:val="1"/>
        <w:numId w:val="1"/>
      </w:numPr>
      <w:tabs>
        <w:tab w:val="left" w:pos="1145"/>
      </w:tabs>
      <w:spacing w:before="260" w:after="260"/>
      <w:jc w:val="center"/>
      <w:outlineLvl w:val="1"/>
    </w:pPr>
    <w:rPr>
      <w:rFonts w:ascii="黑体" w:hAnsi="宋体" w:eastAsia="黑体"/>
      <w:color w:val="000000"/>
      <w:sz w:val="4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qFormat/>
    <w:uiPriority w:val="99"/>
    <w:pPr>
      <w:spacing w:after="120"/>
    </w:pPr>
    <w:rPr>
      <w:kern w:val="0"/>
      <w:sz w:val="20"/>
      <w:szCs w:val="20"/>
    </w:r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Normal Indent"/>
    <w:basedOn w:val="1"/>
    <w:next w:val="1"/>
    <w:link w:val="32"/>
    <w:qFormat/>
    <w:uiPriority w:val="0"/>
    <w:pPr>
      <w:autoSpaceDE w:val="0"/>
      <w:autoSpaceDN w:val="0"/>
      <w:adjustRightInd w:val="0"/>
      <w:ind w:firstLine="420" w:firstLineChars="200"/>
      <w:jc w:val="left"/>
    </w:pPr>
    <w:rPr>
      <w:rFonts w:ascii="Calibri" w:hAnsi="Calibri"/>
    </w:rPr>
  </w:style>
  <w:style w:type="paragraph" w:styleId="7">
    <w:name w:val="Document Map"/>
    <w:basedOn w:val="1"/>
    <w:link w:val="33"/>
    <w:unhideWhenUsed/>
    <w:qFormat/>
    <w:uiPriority w:val="99"/>
    <w:rPr>
      <w:rFonts w:ascii="宋体"/>
      <w:sz w:val="18"/>
      <w:szCs w:val="18"/>
    </w:rPr>
  </w:style>
  <w:style w:type="paragraph" w:styleId="8">
    <w:name w:val="annotation text"/>
    <w:basedOn w:val="1"/>
    <w:link w:val="34"/>
    <w:unhideWhenUsed/>
    <w:qFormat/>
    <w:uiPriority w:val="99"/>
    <w:pPr>
      <w:jc w:val="left"/>
    </w:pPr>
  </w:style>
  <w:style w:type="paragraph" w:styleId="9">
    <w:name w:val="toc 5"/>
    <w:basedOn w:val="1"/>
    <w:next w:val="1"/>
    <w:unhideWhenUsed/>
    <w:qFormat/>
    <w:uiPriority w:val="39"/>
    <w:pPr>
      <w:ind w:left="840"/>
      <w:jc w:val="left"/>
    </w:pPr>
    <w:rPr>
      <w:rFonts w:ascii="Calibri" w:hAnsi="Calibri"/>
      <w:sz w:val="18"/>
      <w:szCs w:val="18"/>
    </w:rPr>
  </w:style>
  <w:style w:type="paragraph" w:styleId="10">
    <w:name w:val="toc 3"/>
    <w:basedOn w:val="1"/>
    <w:next w:val="1"/>
    <w:unhideWhenUsed/>
    <w:qFormat/>
    <w:uiPriority w:val="39"/>
    <w:pPr>
      <w:ind w:left="420"/>
      <w:jc w:val="left"/>
    </w:pPr>
    <w:rPr>
      <w:rFonts w:ascii="Calibri" w:hAnsi="Calibri"/>
      <w:i/>
      <w:iCs/>
      <w:sz w:val="20"/>
      <w:szCs w:val="20"/>
    </w:rPr>
  </w:style>
  <w:style w:type="paragraph" w:styleId="11">
    <w:name w:val="Plain Text"/>
    <w:basedOn w:val="1"/>
    <w:next w:val="1"/>
    <w:link w:val="36"/>
    <w:qFormat/>
    <w:uiPriority w:val="0"/>
    <w:pPr>
      <w:autoSpaceDE w:val="0"/>
      <w:autoSpaceDN w:val="0"/>
      <w:adjustRightInd w:val="0"/>
      <w:jc w:val="left"/>
    </w:pPr>
    <w:rPr>
      <w:rFonts w:ascii="宋体" w:hAnsi="Courier New"/>
      <w:kern w:val="0"/>
      <w:sz w:val="20"/>
      <w:szCs w:val="20"/>
    </w:rPr>
  </w:style>
  <w:style w:type="paragraph" w:styleId="12">
    <w:name w:val="toc 8"/>
    <w:basedOn w:val="1"/>
    <w:next w:val="1"/>
    <w:unhideWhenUsed/>
    <w:qFormat/>
    <w:uiPriority w:val="39"/>
    <w:pPr>
      <w:ind w:left="1470"/>
      <w:jc w:val="left"/>
    </w:pPr>
    <w:rPr>
      <w:rFonts w:ascii="Calibri" w:hAnsi="Calibri"/>
      <w:sz w:val="18"/>
      <w:szCs w:val="18"/>
    </w:rPr>
  </w:style>
  <w:style w:type="paragraph" w:styleId="13">
    <w:name w:val="Balloon Text"/>
    <w:basedOn w:val="1"/>
    <w:link w:val="37"/>
    <w:unhideWhenUsed/>
    <w:qFormat/>
    <w:uiPriority w:val="99"/>
    <w:rPr>
      <w:sz w:val="18"/>
      <w:szCs w:val="18"/>
    </w:rPr>
  </w:style>
  <w:style w:type="paragraph" w:styleId="14">
    <w:name w:val="footer"/>
    <w:basedOn w:val="1"/>
    <w:link w:val="38"/>
    <w:unhideWhenUsed/>
    <w:qFormat/>
    <w:uiPriority w:val="99"/>
    <w:pPr>
      <w:tabs>
        <w:tab w:val="center" w:pos="4153"/>
        <w:tab w:val="right" w:pos="8306"/>
      </w:tabs>
      <w:snapToGrid w:val="0"/>
      <w:jc w:val="left"/>
    </w:pPr>
    <w:rPr>
      <w:sz w:val="18"/>
      <w:szCs w:val="18"/>
    </w:rPr>
  </w:style>
  <w:style w:type="paragraph" w:styleId="1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ascii="Calibri" w:hAnsi="Calibri"/>
      <w:b/>
      <w:bCs/>
      <w:caps/>
      <w:sz w:val="20"/>
      <w:szCs w:val="20"/>
    </w:rPr>
  </w:style>
  <w:style w:type="paragraph" w:styleId="17">
    <w:name w:val="toc 4"/>
    <w:basedOn w:val="1"/>
    <w:next w:val="1"/>
    <w:unhideWhenUsed/>
    <w:qFormat/>
    <w:uiPriority w:val="39"/>
    <w:pPr>
      <w:ind w:left="630"/>
      <w:jc w:val="left"/>
    </w:pPr>
    <w:rPr>
      <w:rFonts w:ascii="Calibri" w:hAnsi="Calibri"/>
      <w:sz w:val="18"/>
      <w:szCs w:val="18"/>
    </w:rPr>
  </w:style>
  <w:style w:type="paragraph" w:styleId="18">
    <w:name w:val="toc 6"/>
    <w:basedOn w:val="1"/>
    <w:next w:val="1"/>
    <w:unhideWhenUsed/>
    <w:qFormat/>
    <w:uiPriority w:val="39"/>
    <w:pPr>
      <w:ind w:left="1050"/>
      <w:jc w:val="left"/>
    </w:pPr>
    <w:rPr>
      <w:rFonts w:ascii="Calibri" w:hAnsi="Calibri"/>
      <w:sz w:val="18"/>
      <w:szCs w:val="18"/>
    </w:rPr>
  </w:style>
  <w:style w:type="paragraph" w:styleId="19">
    <w:name w:val="toc 2"/>
    <w:basedOn w:val="1"/>
    <w:next w:val="1"/>
    <w:unhideWhenUsed/>
    <w:qFormat/>
    <w:uiPriority w:val="39"/>
    <w:pPr>
      <w:ind w:left="210"/>
      <w:jc w:val="left"/>
    </w:pPr>
    <w:rPr>
      <w:rFonts w:ascii="Calibri" w:hAnsi="Calibri"/>
      <w:smallCaps/>
      <w:sz w:val="20"/>
      <w:szCs w:val="20"/>
    </w:rPr>
  </w:style>
  <w:style w:type="paragraph" w:styleId="20">
    <w:name w:val="toc 9"/>
    <w:basedOn w:val="1"/>
    <w:next w:val="1"/>
    <w:unhideWhenUsed/>
    <w:qFormat/>
    <w:uiPriority w:val="39"/>
    <w:pPr>
      <w:ind w:left="1680"/>
      <w:jc w:val="left"/>
    </w:pPr>
    <w:rPr>
      <w:rFonts w:ascii="Calibri" w:hAnsi="Calibri"/>
      <w:sz w:val="18"/>
      <w:szCs w:val="18"/>
    </w:rPr>
  </w:style>
  <w:style w:type="paragraph" w:styleId="21">
    <w:name w:val="Normal (Web)"/>
    <w:basedOn w:val="1"/>
    <w:qFormat/>
    <w:uiPriority w:val="0"/>
    <w:pPr>
      <w:widowControl/>
      <w:spacing w:before="100" w:beforeAutospacing="1" w:after="100" w:afterAutospacing="1"/>
      <w:jc w:val="left"/>
    </w:pPr>
    <w:rPr>
      <w:rFonts w:ascii="宋体" w:hAnsi="宋体"/>
      <w:kern w:val="0"/>
      <w:sz w:val="15"/>
      <w:szCs w:val="20"/>
    </w:rPr>
  </w:style>
  <w:style w:type="paragraph" w:styleId="22">
    <w:name w:val="annotation subject"/>
    <w:basedOn w:val="8"/>
    <w:next w:val="8"/>
    <w:link w:val="40"/>
    <w:unhideWhenUsed/>
    <w:qFormat/>
    <w:uiPriority w:val="99"/>
    <w:rPr>
      <w:b/>
      <w:bCs/>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semiHidden/>
    <w:unhideWhenUsed/>
    <w:qFormat/>
    <w:uiPriority w:val="99"/>
    <w:rPr>
      <w:color w:val="954F72"/>
      <w:u w:val="single"/>
    </w:rPr>
  </w:style>
  <w:style w:type="character" w:styleId="27">
    <w:name w:val="Hyperlink"/>
    <w:basedOn w:val="25"/>
    <w:unhideWhenUsed/>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basedOn w:val="25"/>
    <w:link w:val="3"/>
    <w:qFormat/>
    <w:uiPriority w:val="0"/>
    <w:rPr>
      <w:rFonts w:ascii="Times New Roman" w:hAnsi="Times New Roman"/>
      <w:b/>
      <w:bCs/>
      <w:kern w:val="44"/>
      <w:sz w:val="44"/>
      <w:szCs w:val="44"/>
    </w:rPr>
  </w:style>
  <w:style w:type="paragraph" w:customStyle="1" w:styleId="30">
    <w:name w:val="表格文字"/>
    <w:basedOn w:val="1"/>
    <w:qFormat/>
    <w:uiPriority w:val="0"/>
    <w:pPr>
      <w:spacing w:before="25" w:after="25"/>
      <w:jc w:val="left"/>
    </w:pPr>
    <w:rPr>
      <w:bCs/>
      <w:spacing w:val="10"/>
      <w:kern w:val="0"/>
      <w:sz w:val="24"/>
    </w:rPr>
  </w:style>
  <w:style w:type="character" w:customStyle="1" w:styleId="31">
    <w:name w:val="标题 2 Char"/>
    <w:basedOn w:val="25"/>
    <w:link w:val="4"/>
    <w:qFormat/>
    <w:uiPriority w:val="0"/>
    <w:rPr>
      <w:rFonts w:ascii="黑体" w:hAnsi="宋体" w:eastAsia="黑体" w:cs="Times New Roman"/>
      <w:color w:val="000000"/>
      <w:sz w:val="44"/>
    </w:rPr>
  </w:style>
  <w:style w:type="character" w:customStyle="1" w:styleId="32">
    <w:name w:val="正文缩进 Char"/>
    <w:link w:val="6"/>
    <w:qFormat/>
    <w:uiPriority w:val="0"/>
  </w:style>
  <w:style w:type="character" w:customStyle="1" w:styleId="33">
    <w:name w:val="文档结构图 Char"/>
    <w:basedOn w:val="25"/>
    <w:link w:val="7"/>
    <w:semiHidden/>
    <w:qFormat/>
    <w:uiPriority w:val="99"/>
    <w:rPr>
      <w:rFonts w:ascii="宋体" w:hAnsi="Times New Roman"/>
      <w:kern w:val="2"/>
      <w:sz w:val="18"/>
      <w:szCs w:val="18"/>
    </w:rPr>
  </w:style>
  <w:style w:type="character" w:customStyle="1" w:styleId="34">
    <w:name w:val="批注文字 Char"/>
    <w:basedOn w:val="25"/>
    <w:link w:val="8"/>
    <w:qFormat/>
    <w:uiPriority w:val="99"/>
    <w:rPr>
      <w:rFonts w:ascii="Times New Roman" w:hAnsi="Times New Roman"/>
      <w:kern w:val="2"/>
      <w:sz w:val="21"/>
      <w:szCs w:val="22"/>
    </w:rPr>
  </w:style>
  <w:style w:type="character" w:customStyle="1" w:styleId="35">
    <w:name w:val="正文文本 Char"/>
    <w:link w:val="2"/>
    <w:qFormat/>
    <w:uiPriority w:val="99"/>
    <w:rPr>
      <w:rFonts w:ascii="Times New Roman" w:hAnsi="Times New Roman"/>
    </w:rPr>
  </w:style>
  <w:style w:type="character" w:customStyle="1" w:styleId="36">
    <w:name w:val="纯文本 Char"/>
    <w:link w:val="11"/>
    <w:qFormat/>
    <w:uiPriority w:val="0"/>
    <w:rPr>
      <w:rFonts w:ascii="宋体" w:hAnsi="Courier New"/>
    </w:rPr>
  </w:style>
  <w:style w:type="character" w:customStyle="1" w:styleId="37">
    <w:name w:val="批注框文本 Char"/>
    <w:basedOn w:val="25"/>
    <w:link w:val="13"/>
    <w:semiHidden/>
    <w:qFormat/>
    <w:uiPriority w:val="99"/>
    <w:rPr>
      <w:rFonts w:ascii="Times New Roman" w:hAnsi="Times New Roman"/>
      <w:kern w:val="2"/>
      <w:sz w:val="18"/>
      <w:szCs w:val="18"/>
    </w:rPr>
  </w:style>
  <w:style w:type="character" w:customStyle="1" w:styleId="38">
    <w:name w:val="页脚 Char"/>
    <w:basedOn w:val="25"/>
    <w:link w:val="14"/>
    <w:qFormat/>
    <w:uiPriority w:val="99"/>
    <w:rPr>
      <w:sz w:val="18"/>
      <w:szCs w:val="18"/>
    </w:rPr>
  </w:style>
  <w:style w:type="character" w:customStyle="1" w:styleId="39">
    <w:name w:val="页眉 Char"/>
    <w:basedOn w:val="25"/>
    <w:link w:val="15"/>
    <w:qFormat/>
    <w:uiPriority w:val="0"/>
    <w:rPr>
      <w:sz w:val="18"/>
      <w:szCs w:val="18"/>
    </w:rPr>
  </w:style>
  <w:style w:type="character" w:customStyle="1" w:styleId="40">
    <w:name w:val="批注主题 Char"/>
    <w:basedOn w:val="34"/>
    <w:link w:val="22"/>
    <w:semiHidden/>
    <w:qFormat/>
    <w:uiPriority w:val="99"/>
    <w:rPr>
      <w:rFonts w:ascii="Times New Roman" w:hAnsi="Times New Roman"/>
      <w:b/>
      <w:bCs/>
      <w:kern w:val="2"/>
      <w:sz w:val="21"/>
      <w:szCs w:val="22"/>
    </w:rPr>
  </w:style>
  <w:style w:type="paragraph" w:customStyle="1" w:styleId="41">
    <w:name w:val="_Style 3"/>
    <w:basedOn w:val="1"/>
    <w:qFormat/>
    <w:uiPriority w:val="0"/>
    <w:pPr>
      <w:ind w:firstLine="420" w:firstLineChars="200"/>
    </w:pPr>
    <w:rPr>
      <w:sz w:val="20"/>
    </w:rPr>
  </w:style>
  <w:style w:type="character" w:customStyle="1" w:styleId="42">
    <w:name w:val="纯文本 Char1"/>
    <w:basedOn w:val="25"/>
    <w:semiHidden/>
    <w:qFormat/>
    <w:uiPriority w:val="99"/>
    <w:rPr>
      <w:rFonts w:ascii="宋体" w:hAnsi="Courier New" w:eastAsia="宋体" w:cs="Courier New"/>
      <w:szCs w:val="21"/>
    </w:rPr>
  </w:style>
  <w:style w:type="character" w:customStyle="1" w:styleId="43">
    <w:name w:val="正文文本 Char1"/>
    <w:basedOn w:val="25"/>
    <w:semiHidden/>
    <w:qFormat/>
    <w:uiPriority w:val="99"/>
    <w:rPr>
      <w:rFonts w:ascii="Times New Roman" w:hAnsi="Times New Roman" w:eastAsia="宋体" w:cs="Times New Roman"/>
    </w:rPr>
  </w:style>
  <w:style w:type="character" w:customStyle="1" w:styleId="44">
    <w:name w:val="p141"/>
    <w:qFormat/>
    <w:uiPriority w:val="0"/>
    <w:rPr>
      <w:sz w:val="21"/>
      <w:szCs w:val="21"/>
    </w:rPr>
  </w:style>
  <w:style w:type="paragraph" w:styleId="45">
    <w:name w:val="List Paragraph"/>
    <w:basedOn w:val="1"/>
    <w:qFormat/>
    <w:uiPriority w:val="34"/>
    <w:pPr>
      <w:ind w:firstLine="420" w:firstLineChars="200"/>
    </w:pPr>
  </w:style>
  <w:style w:type="paragraph" w:customStyle="1" w:styleId="4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7">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8">
    <w:name w:val="font01"/>
    <w:basedOn w:val="25"/>
    <w:qFormat/>
    <w:uiPriority w:val="0"/>
    <w:rPr>
      <w:rFonts w:hint="eastAsia" w:ascii="宋体" w:hAnsi="宋体" w:eastAsia="宋体" w:cs="宋体"/>
      <w:color w:val="000000"/>
      <w:sz w:val="22"/>
      <w:szCs w:val="22"/>
      <w:u w:val="none"/>
    </w:rPr>
  </w:style>
  <w:style w:type="character" w:customStyle="1" w:styleId="49">
    <w:name w:val="font31"/>
    <w:basedOn w:val="25"/>
    <w:qFormat/>
    <w:uiPriority w:val="0"/>
    <w:rPr>
      <w:rFonts w:ascii="仿宋_GB2312" w:eastAsia="仿宋_GB2312" w:cs="仿宋_GB2312"/>
      <w:color w:val="000000"/>
      <w:sz w:val="22"/>
      <w:szCs w:val="22"/>
      <w:u w:val="none"/>
    </w:rPr>
  </w:style>
  <w:style w:type="character" w:customStyle="1" w:styleId="50">
    <w:name w:val="font11"/>
    <w:basedOn w:val="25"/>
    <w:qFormat/>
    <w:uiPriority w:val="0"/>
    <w:rPr>
      <w:rFonts w:ascii="宋体" w:hAnsi="宋体" w:eastAsia="宋体" w:cs="宋体"/>
      <w:color w:val="000000"/>
      <w:sz w:val="14"/>
      <w:szCs w:val="14"/>
      <w:u w:val="none"/>
    </w:rPr>
  </w:style>
  <w:style w:type="character" w:customStyle="1" w:styleId="51">
    <w:name w:val="font21"/>
    <w:basedOn w:val="25"/>
    <w:qFormat/>
    <w:uiPriority w:val="0"/>
    <w:rPr>
      <w:rFonts w:ascii="宋体" w:hAnsi="宋体" w:eastAsia="宋体" w:cs="宋体"/>
      <w:color w:val="000000"/>
      <w:sz w:val="14"/>
      <w:szCs w:val="14"/>
      <w:u w:val="none"/>
    </w:rPr>
  </w:style>
  <w:style w:type="paragraph" w:customStyle="1" w:styleId="52">
    <w:name w:val="列出段落1"/>
    <w:basedOn w:val="1"/>
    <w:qFormat/>
    <w:uiPriority w:val="34"/>
    <w:pPr>
      <w:ind w:firstLine="420" w:firstLineChars="200"/>
    </w:pPr>
    <w:rPr>
      <w:szCs w:val="21"/>
    </w:rPr>
  </w:style>
  <w:style w:type="table" w:customStyle="1" w:styleId="53">
    <w:name w:val="Table Normal"/>
    <w:semiHidden/>
    <w:unhideWhenUsed/>
    <w:qFormat/>
    <w:uiPriority w:val="0"/>
    <w:tblPr>
      <w:tblCellMar>
        <w:top w:w="0" w:type="dxa"/>
        <w:left w:w="0" w:type="dxa"/>
        <w:bottom w:w="0" w:type="dxa"/>
        <w:right w:w="0" w:type="dxa"/>
      </w:tblCellMar>
    </w:tbl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6">
    <w:name w:val="xl66"/>
    <w:basedOn w:val="1"/>
    <w:qFormat/>
    <w:uiPriority w:val="0"/>
    <w:pPr>
      <w:widowControl/>
      <w:pBdr>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7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cs="宋体"/>
      <w:kern w:val="0"/>
      <w:sz w:val="20"/>
      <w:szCs w:val="20"/>
    </w:rPr>
  </w:style>
  <w:style w:type="paragraph" w:customStyle="1" w:styleId="63">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14097</Words>
  <Characters>20029</Characters>
  <Lines>166</Lines>
  <Paragraphs>46</Paragraphs>
  <TotalTime>2</TotalTime>
  <ScaleCrop>false</ScaleCrop>
  <LinksUpToDate>false</LinksUpToDate>
  <CharactersWithSpaces>20873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用户1</dc:creator>
  <cp:lastModifiedBy> AAA</cp:lastModifiedBy>
  <dcterms:modified xsi:type="dcterms:W3CDTF">2023-06-05T03:47:17Z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34D5CF3EBEB8491CAC5EB089D905D42A</vt:lpwstr>
  </property>
</Properties>
</file>